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9AE" w:rsidRDefault="006B4B9C" w:rsidP="002D09AE">
      <w:pPr>
        <w:spacing w:after="120" w:line="360" w:lineRule="auto"/>
        <w:ind w:firstLine="708"/>
        <w:jc w:val="center"/>
        <w:rPr>
          <w:b/>
        </w:rPr>
      </w:pPr>
      <w:bookmarkStart w:id="0" w:name="_GoBack"/>
      <w:bookmarkEnd w:id="0"/>
      <w:r w:rsidRPr="00D300E9">
        <w:rPr>
          <w:b/>
        </w:rPr>
        <w:t xml:space="preserve">Yasal-Rasyonel </w:t>
      </w:r>
      <w:r>
        <w:rPr>
          <w:b/>
        </w:rPr>
        <w:t>Otoriteden</w:t>
      </w:r>
      <w:r w:rsidRPr="00D300E9">
        <w:rPr>
          <w:b/>
        </w:rPr>
        <w:t xml:space="preserve"> Karizmatik </w:t>
      </w:r>
      <w:r>
        <w:rPr>
          <w:b/>
        </w:rPr>
        <w:t>Otoriteye</w:t>
      </w:r>
      <w:r w:rsidRPr="00D300E9">
        <w:rPr>
          <w:b/>
        </w:rPr>
        <w:t xml:space="preserve">: </w:t>
      </w:r>
    </w:p>
    <w:p w:rsidR="00D30BAF" w:rsidRDefault="006B4B9C" w:rsidP="002D09AE">
      <w:pPr>
        <w:spacing w:after="120" w:line="360" w:lineRule="auto"/>
        <w:ind w:firstLine="708"/>
        <w:jc w:val="center"/>
        <w:rPr>
          <w:b/>
        </w:rPr>
      </w:pPr>
      <w:r w:rsidRPr="00D300E9">
        <w:rPr>
          <w:b/>
        </w:rPr>
        <w:t>Türkiye’de Hukuk Devletinin Temellerinin Aşınması</w:t>
      </w:r>
      <w:r w:rsidR="002D09AE">
        <w:rPr>
          <w:rStyle w:val="Funotenzeichen"/>
          <w:b/>
        </w:rPr>
        <w:footnoteReference w:id="1"/>
      </w:r>
    </w:p>
    <w:p w:rsidR="006B4B9C" w:rsidRDefault="006B4B9C" w:rsidP="006B4B9C">
      <w:pPr>
        <w:spacing w:after="120" w:line="360" w:lineRule="auto"/>
        <w:jc w:val="center"/>
      </w:pPr>
    </w:p>
    <w:p w:rsidR="00D30BAF" w:rsidRDefault="00D30BAF" w:rsidP="00D30BAF">
      <w:pPr>
        <w:spacing w:after="120" w:line="360" w:lineRule="auto"/>
        <w:jc w:val="right"/>
      </w:pPr>
      <w:r>
        <w:t>Berke Özenç</w:t>
      </w:r>
    </w:p>
    <w:p w:rsidR="00AF11B2" w:rsidRDefault="00AF11B2" w:rsidP="00933C1B">
      <w:pPr>
        <w:spacing w:after="120" w:line="360" w:lineRule="auto"/>
      </w:pPr>
    </w:p>
    <w:p w:rsidR="000C3095" w:rsidRDefault="007B7D5D" w:rsidP="00700A5F">
      <w:pPr>
        <w:spacing w:after="120" w:line="360" w:lineRule="auto"/>
      </w:pPr>
      <w:r>
        <w:t>Türkiye’nin hukuk düzeninin son dönemde otoriterleşme yönünde köklü bir dönüşüm geçirdiği, hukuk kuram ve uygulamasıyla ilgilenen pek çok kişinin ortak saptaması olarak göze çarpar. Fakat</w:t>
      </w:r>
      <w:r w:rsidRPr="00D30BAF">
        <w:t xml:space="preserve"> </w:t>
      </w:r>
      <w:r>
        <w:t>cumhuriyetin kuruluşundan bu yana Türkiye’nin hukuk düzeninin, bir yandan anayasalardan en alt düzeydeki kurallara kadar normatif niteliğiyle, öte yandan bu normların yasama, yürütme ve yargı tarafından uygulanma şekliyle insan hakları ihlallerine yol açtığı örnekler anımsandığında, bugünü özgün kılanın ne olduğu, temel bir soru olarak kendini gösterir.</w:t>
      </w:r>
      <w:r w:rsidR="007D54E9">
        <w:t xml:space="preserve"> </w:t>
      </w:r>
      <w:r>
        <w:t>Bu soru karşısında</w:t>
      </w:r>
      <w:r w:rsidR="00DB69C4">
        <w:t>,</w:t>
      </w:r>
      <w:r>
        <w:t xml:space="preserve"> “</w:t>
      </w:r>
      <w:r w:rsidR="00DB69C4">
        <w:t>Yeni</w:t>
      </w:r>
      <w:r w:rsidR="007577D3">
        <w:t>”</w:t>
      </w:r>
      <w:r w:rsidR="00DB69C4">
        <w:t xml:space="preserve"> Türkiye</w:t>
      </w:r>
      <w:r w:rsidR="007577D3">
        <w:t>’</w:t>
      </w:r>
      <w:r w:rsidR="00DB69C4">
        <w:t>nin hukuk düzenini özgün kılan öğelerin</w:t>
      </w:r>
      <w:r>
        <w:t xml:space="preserve">, herhangi bir konu ya da alanda gözlemlenen </w:t>
      </w:r>
      <w:r w:rsidRPr="00EA22D7">
        <w:rPr>
          <w:i/>
        </w:rPr>
        <w:t>niceliksel</w:t>
      </w:r>
      <w:r>
        <w:t xml:space="preserve"> değişim</w:t>
      </w:r>
      <w:r w:rsidR="008E7C1C">
        <w:t xml:space="preserve">leri aşan </w:t>
      </w:r>
      <w:r w:rsidR="00EA22D7">
        <w:t>özelliklere</w:t>
      </w:r>
      <w:r w:rsidR="008E7C1C">
        <w:t xml:space="preserve"> sahip </w:t>
      </w:r>
      <w:r w:rsidR="00094D90">
        <w:t xml:space="preserve">olduğu </w:t>
      </w:r>
      <w:r w:rsidR="00DB69C4">
        <w:t>ileri sürülebilir.</w:t>
      </w:r>
      <w:r>
        <w:t xml:space="preserve"> T</w:t>
      </w:r>
      <w:r w:rsidR="00B46F56">
        <w:t>emel</w:t>
      </w:r>
      <w:r w:rsidR="00C16549">
        <w:t xml:space="preserve"> ve </w:t>
      </w:r>
      <w:r w:rsidR="00C16549" w:rsidRPr="00EA22D7">
        <w:rPr>
          <w:i/>
        </w:rPr>
        <w:t>niteliksel</w:t>
      </w:r>
      <w:r w:rsidR="00B46F56">
        <w:t xml:space="preserve"> </w:t>
      </w:r>
      <w:r w:rsidR="00C16549">
        <w:t>kırılmanın nedeni</w:t>
      </w:r>
      <w:r w:rsidR="00DB69C4">
        <w:t>;</w:t>
      </w:r>
      <w:r>
        <w:t xml:space="preserve"> siyasi iktidarın </w:t>
      </w:r>
      <w:r w:rsidRPr="00ED588C">
        <w:t>meşruiyetini</w:t>
      </w:r>
      <w:r w:rsidR="005026CD">
        <w:t>n</w:t>
      </w:r>
      <w:r w:rsidRPr="00ED588C">
        <w:t xml:space="preserve">, hukuk düzeninin </w:t>
      </w:r>
      <w:r w:rsidR="00B46F56">
        <w:t>kurumsallığı</w:t>
      </w:r>
      <w:r w:rsidRPr="00ED588C">
        <w:t xml:space="preserve"> ve </w:t>
      </w:r>
      <w:r w:rsidR="00B46F56">
        <w:t>etkinliğinden</w:t>
      </w:r>
      <w:r w:rsidRPr="00ED588C">
        <w:t xml:space="preserve"> ziyade</w:t>
      </w:r>
      <w:r>
        <w:t>, pozitif hukuka aşkın nitelikteki değerlerin koruyucusu olan cumhur</w:t>
      </w:r>
      <w:r w:rsidR="00B46F56">
        <w:t>başkanının kişisel karizması ve</w:t>
      </w:r>
      <w:r>
        <w:t xml:space="preserve"> otorite</w:t>
      </w:r>
      <w:r w:rsidR="00B46F56">
        <w:t>si</w:t>
      </w:r>
      <w:r w:rsidRPr="00ED588C">
        <w:t xml:space="preserve"> üzerine inşa e</w:t>
      </w:r>
      <w:r w:rsidR="005026CD">
        <w:t>dilmeye çalışılmasıdır</w:t>
      </w:r>
      <w:r>
        <w:t>.</w:t>
      </w:r>
      <w:r w:rsidR="004B7EE4">
        <w:t xml:space="preserve"> </w:t>
      </w:r>
      <w:r w:rsidR="005026CD">
        <w:t>Demokrasiyi</w:t>
      </w:r>
      <w:r w:rsidR="00F14976">
        <w:t>, liderle “gerçek” halk arasında kurulan organik ve doğrudan bağa indirge</w:t>
      </w:r>
      <w:r w:rsidR="005026CD">
        <w:t>me çabasına</w:t>
      </w:r>
      <w:r w:rsidR="00F14976">
        <w:t xml:space="preserve"> eşlik eden bu süreç, siyasi iktidarın meşruiyetinin inşası</w:t>
      </w:r>
      <w:r w:rsidR="00EA22D7">
        <w:t>nın yanı sıra</w:t>
      </w:r>
      <w:r w:rsidR="00F14976">
        <w:t xml:space="preserve"> icrası açısından</w:t>
      </w:r>
      <w:r w:rsidR="00EA22D7">
        <w:t xml:space="preserve"> da</w:t>
      </w:r>
      <w:r w:rsidR="00F14976">
        <w:t xml:space="preserve"> radikal bir dönüşüme yol açmaktadır. </w:t>
      </w:r>
    </w:p>
    <w:p w:rsidR="007B7D5D" w:rsidRDefault="00DB69C4" w:rsidP="00616959">
      <w:pPr>
        <w:spacing w:after="120" w:line="360" w:lineRule="auto"/>
      </w:pPr>
      <w:r>
        <w:t xml:space="preserve">Weber’in otorite türleri açısından klasikleşen ayrımı çerçevesine, yasal-rasyonel otoritenin </w:t>
      </w:r>
      <w:r w:rsidR="00CE47CD">
        <w:t>gerilemesi ve</w:t>
      </w:r>
      <w:r>
        <w:t xml:space="preserve"> karizmatik otorite</w:t>
      </w:r>
      <w:r w:rsidR="00CE47CD">
        <w:t>nin yükselişi</w:t>
      </w:r>
      <w:r>
        <w:t xml:space="preserve"> olarak değerlendirilebilecek bu süreç</w:t>
      </w:r>
      <w:r w:rsidR="00D56290">
        <w:t xml:space="preserve"> Türkiye’de</w:t>
      </w:r>
      <w:r>
        <w:t>,</w:t>
      </w:r>
      <w:r w:rsidR="00F14976">
        <w:t xml:space="preserve"> </w:t>
      </w:r>
      <w:r>
        <w:t>hukuk devletinin</w:t>
      </w:r>
      <w:r w:rsidR="00894715">
        <w:t xml:space="preserve"> temellerinin</w:t>
      </w:r>
      <w:r>
        <w:t xml:space="preserve"> aşınması sonucunu doğurmaktadır. </w:t>
      </w:r>
      <w:r w:rsidR="00894715" w:rsidRPr="00894715">
        <w:t>Bu sunumda</w:t>
      </w:r>
      <w:r w:rsidR="00F14976">
        <w:t xml:space="preserve"> Türkiye’de son yıllarda </w:t>
      </w:r>
      <w:r w:rsidR="00D56290">
        <w:t>yaşanan bu</w:t>
      </w:r>
      <w:r w:rsidR="00894715" w:rsidRPr="00894715">
        <w:t xml:space="preserve"> dönüşümün dinamikleri ve anayasal düzlemdeki yansımaları</w:t>
      </w:r>
      <w:r w:rsidR="00BE7BA0">
        <w:t xml:space="preserve">, </w:t>
      </w:r>
      <w:r w:rsidR="00C16549">
        <w:t xml:space="preserve">Max </w:t>
      </w:r>
      <w:r w:rsidR="00BE7BA0">
        <w:t>Weber’in geliştirdiği kuramsal yaklaşım çerçevesinde</w:t>
      </w:r>
      <w:r w:rsidR="00894715" w:rsidRPr="00894715">
        <w:t xml:space="preserve"> tartışmaya açılacaktır.</w:t>
      </w:r>
    </w:p>
    <w:p w:rsidR="00F14976" w:rsidRPr="00F14976" w:rsidRDefault="00B67453" w:rsidP="00616959">
      <w:pPr>
        <w:pStyle w:val="berschrift1"/>
        <w:numPr>
          <w:ilvl w:val="0"/>
          <w:numId w:val="1"/>
        </w:numPr>
      </w:pPr>
      <w:r>
        <w:t xml:space="preserve">Geleneksel, </w:t>
      </w:r>
      <w:r w:rsidR="00F14976" w:rsidRPr="00F14976">
        <w:t>Y</w:t>
      </w:r>
      <w:r w:rsidR="00A45034">
        <w:t>asal-</w:t>
      </w:r>
      <w:r w:rsidR="00F14976" w:rsidRPr="00F14976">
        <w:t xml:space="preserve">Rasyonel </w:t>
      </w:r>
      <w:r>
        <w:t>ve Karizmatik Otorite</w:t>
      </w:r>
    </w:p>
    <w:p w:rsidR="00F14976" w:rsidRDefault="00CF1811" w:rsidP="00616959">
      <w:pPr>
        <w:spacing w:after="120" w:line="360" w:lineRule="auto"/>
      </w:pPr>
      <w:r>
        <w:rPr>
          <w:szCs w:val="24"/>
        </w:rPr>
        <w:t>Hukuk devleti, hukuk dogmatiği açısından</w:t>
      </w:r>
      <w:r w:rsidR="00BE7BA0">
        <w:rPr>
          <w:szCs w:val="24"/>
        </w:rPr>
        <w:t xml:space="preserve"> yasa önünde eşitlik,</w:t>
      </w:r>
      <w:r>
        <w:rPr>
          <w:szCs w:val="24"/>
        </w:rPr>
        <w:t xml:space="preserve"> kuvvetler</w:t>
      </w:r>
      <w:r w:rsidR="004B7077">
        <w:rPr>
          <w:szCs w:val="24"/>
        </w:rPr>
        <w:t>in birbirlerini denetleyecek ve dengeleyecek şekilde</w:t>
      </w:r>
      <w:r>
        <w:rPr>
          <w:szCs w:val="24"/>
        </w:rPr>
        <w:t xml:space="preserve"> ayrılığı, yargısal denetim ve yargı bağımsızlığı gibi</w:t>
      </w:r>
      <w:r w:rsidRPr="00840427">
        <w:rPr>
          <w:szCs w:val="24"/>
        </w:rPr>
        <w:t xml:space="preserve"> çeşitli ilke ve kurumlar bütününe işaret eder. </w:t>
      </w:r>
      <w:r w:rsidR="00E7053D">
        <w:rPr>
          <w:szCs w:val="24"/>
        </w:rPr>
        <w:t>Fakat</w:t>
      </w:r>
      <w:r w:rsidRPr="00840427">
        <w:rPr>
          <w:szCs w:val="24"/>
        </w:rPr>
        <w:t xml:space="preserve"> uygulamaya dair bu özelliklere ön gelen bir </w:t>
      </w:r>
      <w:r w:rsidRPr="00840427">
        <w:rPr>
          <w:szCs w:val="24"/>
        </w:rPr>
        <w:lastRenderedPageBreak/>
        <w:t xml:space="preserve">şekilde </w:t>
      </w:r>
      <w:r>
        <w:rPr>
          <w:szCs w:val="24"/>
        </w:rPr>
        <w:t>h</w:t>
      </w:r>
      <w:r>
        <w:t>ukuk devleti, modern siyasi</w:t>
      </w:r>
      <w:r w:rsidR="008E7C1C">
        <w:t xml:space="preserve"> iktidarın</w:t>
      </w:r>
      <w:r>
        <w:t xml:space="preserve"> </w:t>
      </w:r>
      <w:r w:rsidRPr="00840427">
        <w:rPr>
          <w:szCs w:val="24"/>
        </w:rPr>
        <w:t>örgütlenme tarzı</w:t>
      </w:r>
      <w:r>
        <w:t xml:space="preserve"> ve meşruiyeti açısından özgün bir değere sahiptir.</w:t>
      </w:r>
      <w:r w:rsidR="008E7C1C">
        <w:t xml:space="preserve"> Demokrasinin özellikle 20. </w:t>
      </w:r>
      <w:r w:rsidR="00EA22D7">
        <w:t>y</w:t>
      </w:r>
      <w:r w:rsidR="008E7C1C">
        <w:t>üzyıldan itibaren dünya çapında</w:t>
      </w:r>
      <w:r w:rsidR="00E7053D">
        <w:t xml:space="preserve"> en azından söylem düzeyinde</w:t>
      </w:r>
      <w:r w:rsidR="008E7C1C">
        <w:t xml:space="preserve"> yaygınlaşmasıyla birlikte</w:t>
      </w:r>
      <w:r w:rsidR="00836548">
        <w:t>, modern</w:t>
      </w:r>
      <w:r w:rsidR="008E7C1C">
        <w:rPr>
          <w:szCs w:val="24"/>
        </w:rPr>
        <w:t xml:space="preserve"> siyasi iktidarın</w:t>
      </w:r>
      <w:r>
        <w:rPr>
          <w:szCs w:val="24"/>
        </w:rPr>
        <w:t xml:space="preserve"> meşruluğunun kaynağı</w:t>
      </w:r>
      <w:r w:rsidR="008E7C1C">
        <w:rPr>
          <w:szCs w:val="24"/>
        </w:rPr>
        <w:t xml:space="preserve"> açısından</w:t>
      </w:r>
      <w:r>
        <w:rPr>
          <w:szCs w:val="24"/>
        </w:rPr>
        <w:t>, “sandık”</w:t>
      </w:r>
      <w:r w:rsidR="00F14976" w:rsidRPr="00840427">
        <w:rPr>
          <w:szCs w:val="24"/>
        </w:rPr>
        <w:t xml:space="preserve"> aracılığıy</w:t>
      </w:r>
      <w:r>
        <w:rPr>
          <w:szCs w:val="24"/>
        </w:rPr>
        <w:t>la kurulan temsil ilişkisi</w:t>
      </w:r>
      <w:r w:rsidR="008E7C1C">
        <w:rPr>
          <w:szCs w:val="24"/>
        </w:rPr>
        <w:t xml:space="preserve"> belirleyici hale gelmiştir</w:t>
      </w:r>
      <w:r w:rsidR="00F14976" w:rsidRPr="00840427">
        <w:rPr>
          <w:szCs w:val="24"/>
        </w:rPr>
        <w:t xml:space="preserve">. </w:t>
      </w:r>
      <w:r w:rsidRPr="00840427">
        <w:rPr>
          <w:szCs w:val="24"/>
        </w:rPr>
        <w:t>Fakat şiddet tekeline sahip</w:t>
      </w:r>
      <w:r>
        <w:rPr>
          <w:szCs w:val="24"/>
        </w:rPr>
        <w:t xml:space="preserve"> modern</w:t>
      </w:r>
      <w:r w:rsidRPr="00840427">
        <w:rPr>
          <w:szCs w:val="24"/>
        </w:rPr>
        <w:t xml:space="preserve"> siyasi iktidarın </w:t>
      </w:r>
      <w:r>
        <w:rPr>
          <w:szCs w:val="24"/>
        </w:rPr>
        <w:t>demokratik</w:t>
      </w:r>
      <w:r w:rsidRPr="00840427">
        <w:rPr>
          <w:szCs w:val="24"/>
        </w:rPr>
        <w:t xml:space="preserve"> </w:t>
      </w:r>
      <w:r>
        <w:rPr>
          <w:szCs w:val="24"/>
        </w:rPr>
        <w:t xml:space="preserve">meşruiyete </w:t>
      </w:r>
      <w:r w:rsidRPr="00840427">
        <w:rPr>
          <w:szCs w:val="24"/>
        </w:rPr>
        <w:t>dayanarak yönetirken önemli bir iddiası</w:t>
      </w:r>
      <w:r>
        <w:rPr>
          <w:szCs w:val="24"/>
        </w:rPr>
        <w:t xml:space="preserve"> da</w:t>
      </w:r>
      <w:r w:rsidR="00836548">
        <w:rPr>
          <w:szCs w:val="24"/>
        </w:rPr>
        <w:t>ha vardır.</w:t>
      </w:r>
      <w:r>
        <w:rPr>
          <w:szCs w:val="24"/>
        </w:rPr>
        <w:t xml:space="preserve"> Türkiye özelinde Anayasa’nın 2. maddesinde somutlaştığı üzere, </w:t>
      </w:r>
      <w:r>
        <w:t>s</w:t>
      </w:r>
      <w:r w:rsidRPr="006E19FF">
        <w:t xml:space="preserve">iyasi iktidarın, </w:t>
      </w:r>
      <w:r w:rsidRPr="008E7C1C">
        <w:rPr>
          <w:i/>
        </w:rPr>
        <w:t>hukuk devleti olarak</w:t>
      </w:r>
      <w:r w:rsidR="00836548">
        <w:rPr>
          <w:i/>
        </w:rPr>
        <w:t>, hukuka uygun</w:t>
      </w:r>
      <w:r w:rsidRPr="008E7C1C">
        <w:rPr>
          <w:i/>
        </w:rPr>
        <w:t xml:space="preserve"> yönetme vaadi</w:t>
      </w:r>
      <w:r>
        <w:t>,</w:t>
      </w:r>
      <w:r w:rsidRPr="006E19FF">
        <w:t xml:space="preserve"> meşruiyetinin ikinci </w:t>
      </w:r>
      <w:r>
        <w:t>kurucu</w:t>
      </w:r>
      <w:r w:rsidRPr="006E19FF">
        <w:t xml:space="preserve"> öğesidir.</w:t>
      </w:r>
      <w:r w:rsidR="00F14976" w:rsidRPr="00840427">
        <w:rPr>
          <w:szCs w:val="24"/>
        </w:rPr>
        <w:t xml:space="preserve"> </w:t>
      </w:r>
    </w:p>
    <w:p w:rsidR="007B0BBE" w:rsidRDefault="00BE7BA0" w:rsidP="007B7D5D">
      <w:pPr>
        <w:spacing w:after="120" w:line="360" w:lineRule="auto"/>
      </w:pPr>
      <w:r>
        <w:t xml:space="preserve">Weber’in otorite türleri </w:t>
      </w:r>
      <w:r w:rsidR="00CE47CD">
        <w:t>için geliştirdiği</w:t>
      </w:r>
      <w:r>
        <w:t xml:space="preserve"> geleneksel, karizmatik ve yasal-rasyonel </w:t>
      </w:r>
      <w:r w:rsidR="00AA37D0">
        <w:t>otorite</w:t>
      </w:r>
      <w:r>
        <w:t xml:space="preserve"> ayrımı, </w:t>
      </w:r>
      <w:r w:rsidR="00D331C3" w:rsidRPr="00836548">
        <w:rPr>
          <w:i/>
        </w:rPr>
        <w:t xml:space="preserve">bir vaat olarak </w:t>
      </w:r>
      <w:r w:rsidRPr="00836548">
        <w:rPr>
          <w:i/>
        </w:rPr>
        <w:t>hukuk devletinin</w:t>
      </w:r>
      <w:r>
        <w:t xml:space="preserve"> özünün kavranması açısından yol göstericidir.</w:t>
      </w:r>
      <w:r w:rsidR="00EC5586">
        <w:t xml:space="preserve"> Weber’in</w:t>
      </w:r>
      <w:r w:rsidR="00D331C3">
        <w:t xml:space="preserve"> bu noktada</w:t>
      </w:r>
      <w:r w:rsidR="00EC5586">
        <w:t xml:space="preserve"> öncelikli vurgusu</w:t>
      </w:r>
      <w:r w:rsidR="00D331C3">
        <w:t>,</w:t>
      </w:r>
      <w:r w:rsidR="00EC5586">
        <w:t xml:space="preserve"> otoritenin </w:t>
      </w:r>
      <w:r w:rsidR="00EC5586" w:rsidRPr="00EC5586">
        <w:rPr>
          <w:i/>
        </w:rPr>
        <w:t>(Herrschaft)</w:t>
      </w:r>
      <w:r w:rsidR="00EC5586">
        <w:t xml:space="preserve">, iktidardan </w:t>
      </w:r>
      <w:r w:rsidR="00EC5586" w:rsidRPr="00EC5586">
        <w:rPr>
          <w:i/>
        </w:rPr>
        <w:t>(Gewalt)</w:t>
      </w:r>
      <w:r>
        <w:t xml:space="preserve"> </w:t>
      </w:r>
      <w:r w:rsidR="00EC5586">
        <w:t xml:space="preserve">farklılığına dairdir. </w:t>
      </w:r>
      <w:r w:rsidR="007F664C">
        <w:t>İktidar, bir toplumsal ilişkide, bir tarafın iradesini, karşılaştığı direnç ya da itirazlara rağmen dayatabilmesi anlamına gelir. Bu dayatma sonucunda başarılı olabilmesini sağlayan yöntem</w:t>
      </w:r>
      <w:r w:rsidR="002D4899">
        <w:t>,</w:t>
      </w:r>
      <w:r w:rsidR="00D331C3">
        <w:t xml:space="preserve"> farklı</w:t>
      </w:r>
      <w:r w:rsidR="007F664C">
        <w:t xml:space="preserve"> nitelikler</w:t>
      </w:r>
      <w:r w:rsidR="00D331C3">
        <w:t xml:space="preserve"> gösterebilir</w:t>
      </w:r>
      <w:r w:rsidR="008E7C1C">
        <w:t>;</w:t>
      </w:r>
      <w:r w:rsidR="00857783">
        <w:t xml:space="preserve"> örneğin</w:t>
      </w:r>
      <w:r w:rsidR="00D331C3">
        <w:t xml:space="preserve"> </w:t>
      </w:r>
      <w:r w:rsidR="007F664C">
        <w:t xml:space="preserve">anlık olabilir ya da </w:t>
      </w:r>
      <w:r w:rsidR="00D331C3">
        <w:t xml:space="preserve">sadece </w:t>
      </w:r>
      <w:r w:rsidR="007F664C">
        <w:t>şiddet araçlarının sağladığı üstünlüğe dayanabilir. Buna karşın otorite ya da hükmetme, belirli içerikteki bu</w:t>
      </w:r>
      <w:r w:rsidR="00857783">
        <w:t xml:space="preserve">yruklara, yöneltildiği topluluk tarafından rızaya dayalı olarak itaat edilmesi durumunda ortaya çıkar. </w:t>
      </w:r>
      <w:r w:rsidR="007B0BBE">
        <w:t xml:space="preserve">Dolayısıyla </w:t>
      </w:r>
      <w:r w:rsidR="00373472">
        <w:t xml:space="preserve">bir </w:t>
      </w:r>
      <w:r w:rsidR="007B0BBE">
        <w:t xml:space="preserve">otoritenin hükmettiği toplumsal ilişkide, zorlama ve dayatmayı aşan bir özellik gözlemlenir. </w:t>
      </w:r>
      <w:r w:rsidR="00373472">
        <w:t>Weber, modern devleti</w:t>
      </w:r>
      <w:r w:rsidR="00D331C3">
        <w:t>,</w:t>
      </w:r>
      <w:r w:rsidR="00373472">
        <w:t xml:space="preserve"> fiziki zoru</w:t>
      </w:r>
      <w:r w:rsidR="00D331C3">
        <w:t xml:space="preserve"> uygulama</w:t>
      </w:r>
      <w:r w:rsidR="00915C6A">
        <w:t xml:space="preserve"> yetkisini</w:t>
      </w:r>
      <w:r w:rsidR="00D331C3">
        <w:t xml:space="preserve"> ve gerektiğinde uygulamaya dair</w:t>
      </w:r>
      <w:r w:rsidR="00373472">
        <w:t xml:space="preserve"> tehdidi tekelleştirebilmesiyle ayırt ederken,</w:t>
      </w:r>
      <w:r w:rsidR="00D331C3">
        <w:t xml:space="preserve"> tam da bu noktadan hareketle</w:t>
      </w:r>
      <w:r w:rsidR="00357856">
        <w:t xml:space="preserve"> bir kavramın altını çize</w:t>
      </w:r>
      <w:r w:rsidR="00E7053D">
        <w:t>r</w:t>
      </w:r>
      <w:r w:rsidR="00357856">
        <w:t>:</w:t>
      </w:r>
      <w:r w:rsidR="00373472">
        <w:t xml:space="preserve"> </w:t>
      </w:r>
      <w:r w:rsidR="00373472" w:rsidRPr="00357856">
        <w:rPr>
          <w:i/>
        </w:rPr>
        <w:t>meşruiyet</w:t>
      </w:r>
      <w:r w:rsidR="00373472">
        <w:t>.</w:t>
      </w:r>
      <w:r w:rsidR="00373472">
        <w:rPr>
          <w:rStyle w:val="Funotenzeichen"/>
        </w:rPr>
        <w:footnoteReference w:id="2"/>
      </w:r>
      <w:r w:rsidR="00373472">
        <w:t xml:space="preserve"> </w:t>
      </w:r>
    </w:p>
    <w:p w:rsidR="0066475B" w:rsidRDefault="00D7166A" w:rsidP="007B7D5D">
      <w:pPr>
        <w:spacing w:after="120" w:line="360" w:lineRule="auto"/>
      </w:pPr>
      <w:r>
        <w:t>Otoriteye itaatin</w:t>
      </w:r>
      <w:r w:rsidR="00D331C3">
        <w:t>,</w:t>
      </w:r>
      <w:r>
        <w:t xml:space="preserve"> alışkanlıktan saf rasyonel hesaplara uzanan çeşitli güdülere dayanabileceğini belirten Weber, otoritenin </w:t>
      </w:r>
      <w:r w:rsidRPr="0066475B">
        <w:rPr>
          <w:i/>
        </w:rPr>
        <w:t>sürekliliğini</w:t>
      </w:r>
      <w:r>
        <w:t xml:space="preserve"> sağlayan, bu anlamda itaati gönüllü kılan bir öğe olarak meşruiyete yönelik </w:t>
      </w:r>
      <w:r w:rsidRPr="00D7166A">
        <w:rPr>
          <w:i/>
        </w:rPr>
        <w:t>inanca</w:t>
      </w:r>
      <w:r>
        <w:t xml:space="preserve"> işaret eder. </w:t>
      </w:r>
      <w:r w:rsidR="002D4899">
        <w:t>M</w:t>
      </w:r>
      <w:r>
        <w:t>odern devlet</w:t>
      </w:r>
      <w:r w:rsidR="0066475B">
        <w:t xml:space="preserve"> de</w:t>
      </w:r>
      <w:r>
        <w:t xml:space="preserve"> tıpkı diğer siyasi birlik türleri gibi, meşruiyetine yönelik </w:t>
      </w:r>
      <w:r w:rsidR="0066475B">
        <w:t>bu</w:t>
      </w:r>
      <w:r>
        <w:t xml:space="preserve"> inancı yaratmak ve korumak ister. </w:t>
      </w:r>
      <w:r w:rsidR="008F5FF6">
        <w:t xml:space="preserve">Bu inanç sayesinde otoritenin buyruklarına </w:t>
      </w:r>
      <w:r w:rsidR="007532DF">
        <w:t>itaat</w:t>
      </w:r>
      <w:r w:rsidR="008F5FF6">
        <w:t>, buyruğun içeriğinden</w:t>
      </w:r>
      <w:r w:rsidR="003561F6">
        <w:t xml:space="preserve"> </w:t>
      </w:r>
      <w:r w:rsidR="00D331C3">
        <w:t>ya da</w:t>
      </w:r>
      <w:r w:rsidR="008F5FF6">
        <w:t xml:space="preserve"> değer yargılarına göre tasvibinden bağımsız olarak, tabi olanın davranışının temeli haline gelir.</w:t>
      </w:r>
      <w:r w:rsidR="00D331C3">
        <w:t xml:space="preserve"> </w:t>
      </w:r>
      <w:r w:rsidR="008F5FF6">
        <w:t xml:space="preserve">Bu çerçevede </w:t>
      </w:r>
      <w:r w:rsidR="00A910A1">
        <w:t>Weber</w:t>
      </w:r>
      <w:r w:rsidR="00824FA6">
        <w:t xml:space="preserve"> siyasi otoritelerin;</w:t>
      </w:r>
      <w:r w:rsidR="008F5FF6">
        <w:t xml:space="preserve"> </w:t>
      </w:r>
      <w:r w:rsidR="008F5FF6" w:rsidRPr="0066475B">
        <w:rPr>
          <w:i/>
        </w:rPr>
        <w:t>meşruiyet vaatlerinin</w:t>
      </w:r>
      <w:r w:rsidR="008F5FF6">
        <w:t xml:space="preserve"> </w:t>
      </w:r>
      <w:r w:rsidR="00FA1020">
        <w:t>niteliğine</w:t>
      </w:r>
      <w:r w:rsidR="008F5FF6">
        <w:t xml:space="preserve"> göre </w:t>
      </w:r>
      <w:r w:rsidR="00E7053D">
        <w:t>üç</w:t>
      </w:r>
      <w:r w:rsidR="008F5FF6">
        <w:t xml:space="preserve"> temel </w:t>
      </w:r>
      <w:r w:rsidR="00824FA6">
        <w:t xml:space="preserve">tür altında sınıflandırılabileceğini </w:t>
      </w:r>
      <w:r w:rsidR="008F5FF6">
        <w:t>belirtir</w:t>
      </w:r>
      <w:r w:rsidR="00E7053D">
        <w:t>:</w:t>
      </w:r>
      <w:r w:rsidR="008F5FF6">
        <w:t xml:space="preserve"> </w:t>
      </w:r>
      <w:r w:rsidR="008F5FF6" w:rsidRPr="00357856">
        <w:rPr>
          <w:i/>
        </w:rPr>
        <w:t>geleneksel, yasal ve karizmatik otorite</w:t>
      </w:r>
      <w:r w:rsidR="008F5FF6">
        <w:t>.</w:t>
      </w:r>
      <w:r w:rsidR="008F5FF6">
        <w:rPr>
          <w:rStyle w:val="Funotenzeichen"/>
        </w:rPr>
        <w:footnoteReference w:id="3"/>
      </w:r>
    </w:p>
    <w:p w:rsidR="00D7166A" w:rsidRDefault="0066475B" w:rsidP="007B7D5D">
      <w:pPr>
        <w:spacing w:after="120" w:line="360" w:lineRule="auto"/>
      </w:pPr>
      <w:r w:rsidRPr="00E7766B">
        <w:t>Geleneksel</w:t>
      </w:r>
      <w:r>
        <w:t xml:space="preserve"> ve yasal </w:t>
      </w:r>
      <w:r w:rsidR="00A910A1">
        <w:t>otorite</w:t>
      </w:r>
      <w:r>
        <w:t xml:space="preserve"> ayrımı, modern öncesi ve modern o</w:t>
      </w:r>
      <w:r w:rsidR="00FA1020">
        <w:t>torite yapılarını</w:t>
      </w:r>
      <w:r>
        <w:t xml:space="preserve"> karşılaştırmak açısından </w:t>
      </w:r>
      <w:r w:rsidR="002D4899">
        <w:t>elverişli</w:t>
      </w:r>
      <w:r>
        <w:t xml:space="preserve"> bir zemin sunar. Antik Mısır hükümdarlıkları</w:t>
      </w:r>
      <w:r w:rsidR="00915C6A">
        <w:t>nda</w:t>
      </w:r>
      <w:r>
        <w:t xml:space="preserve"> ya da Osmanlı İmparatorluğu</w:t>
      </w:r>
      <w:r w:rsidR="00915C6A">
        <w:t>nda</w:t>
      </w:r>
      <w:r>
        <w:t xml:space="preserve"> ve</w:t>
      </w:r>
      <w:r w:rsidR="00915C6A">
        <w:t>ya</w:t>
      </w:r>
      <w:r>
        <w:t xml:space="preserve"> </w:t>
      </w:r>
      <w:r w:rsidR="002D4899">
        <w:t xml:space="preserve">Batı’da </w:t>
      </w:r>
      <w:r>
        <w:t xml:space="preserve">feodal iktidar ilişkilerinde alt türleri gözlemlenen </w:t>
      </w:r>
      <w:r w:rsidRPr="00E7766B">
        <w:rPr>
          <w:i/>
        </w:rPr>
        <w:t xml:space="preserve">geleneksel </w:t>
      </w:r>
      <w:r w:rsidRPr="00E7766B">
        <w:rPr>
          <w:i/>
        </w:rPr>
        <w:lastRenderedPageBreak/>
        <w:t>otoritenin</w:t>
      </w:r>
      <w:r>
        <w:t xml:space="preserve"> meşruluğu; kadim geleneklerin kutsallığına yönelik, rutinleştiği ölçüde istikrar sağlayan inanca dayanır. Yöneticilerin seçiminde gelenekler belirleyicidir ve geleneğin kişiye sağladığı konum</w:t>
      </w:r>
      <w:r w:rsidR="001311E3">
        <w:t>,</w:t>
      </w:r>
      <w:r>
        <w:t xml:space="preserve"> itaate kaynaklık ed</w:t>
      </w:r>
      <w:r w:rsidR="007742A3">
        <w:t xml:space="preserve"> </w:t>
      </w:r>
      <w:r>
        <w:t>er</w:t>
      </w:r>
      <w:r w:rsidR="001311E3">
        <w:t>.</w:t>
      </w:r>
      <w:r w:rsidR="001311E3" w:rsidRPr="001311E3">
        <w:t xml:space="preserve"> </w:t>
      </w:r>
      <w:r w:rsidR="00E7766B">
        <w:t>Topluluğun eşit birer üyesi değil de</w:t>
      </w:r>
      <w:r w:rsidR="001311E3">
        <w:t xml:space="preserve"> </w:t>
      </w:r>
      <w:r w:rsidR="00E7766B">
        <w:t xml:space="preserve">ancak </w:t>
      </w:r>
      <w:r w:rsidR="001311E3">
        <w:t xml:space="preserve">tebaa </w:t>
      </w:r>
      <w:r w:rsidR="00E7766B">
        <w:t>statüsünde olan</w:t>
      </w:r>
      <w:r w:rsidR="001311E3">
        <w:t xml:space="preserve"> yönetilenler açısından</w:t>
      </w:r>
      <w:r w:rsidR="00915C6A">
        <w:t xml:space="preserve"> ise</w:t>
      </w:r>
      <w:r w:rsidR="001311E3">
        <w:t xml:space="preserve"> itaat, geleneklere göre atanan ve geleneklere bağlı olarak hareket eden kişiye yöneliktir.</w:t>
      </w:r>
      <w:r>
        <w:t xml:space="preserve"> </w:t>
      </w:r>
      <w:r w:rsidR="001311E3">
        <w:t>Öte yandan</w:t>
      </w:r>
      <w:r w:rsidR="00A910A1">
        <w:t xml:space="preserve"> </w:t>
      </w:r>
      <w:r w:rsidR="001311E3">
        <w:t>geleneksel o</w:t>
      </w:r>
      <w:r>
        <w:t xml:space="preserve">toritenin </w:t>
      </w:r>
      <w:r w:rsidR="001311E3">
        <w:t xml:space="preserve">resmi </w:t>
      </w:r>
      <w:r>
        <w:t>memurlar</w:t>
      </w:r>
      <w:r w:rsidR="00E7766B">
        <w:t xml:space="preserve">ı </w:t>
      </w:r>
      <w:r>
        <w:t>değil,</w:t>
      </w:r>
      <w:r w:rsidR="00E7766B">
        <w:t xml:space="preserve"> yöneticilere</w:t>
      </w:r>
      <w:r w:rsidR="001311E3">
        <w:t xml:space="preserve"> sadakat ilişkisiyle</w:t>
      </w:r>
      <w:r w:rsidR="00E7766B">
        <w:t xml:space="preserve"> </w:t>
      </w:r>
      <w:r w:rsidR="001311E3">
        <w:t xml:space="preserve">bağlı </w:t>
      </w:r>
      <w:r w:rsidR="00E7766B">
        <w:t>şahsi</w:t>
      </w:r>
      <w:r w:rsidR="001311E3">
        <w:t xml:space="preserve"> hizmetlileri vardır.</w:t>
      </w:r>
      <w:r w:rsidR="001311E3">
        <w:rPr>
          <w:rStyle w:val="Funotenzeichen"/>
        </w:rPr>
        <w:footnoteReference w:id="4"/>
      </w:r>
      <w:r w:rsidR="008F5FF6">
        <w:t xml:space="preserve"> </w:t>
      </w:r>
      <w:r w:rsidR="00D7166A">
        <w:t xml:space="preserve"> </w:t>
      </w:r>
    </w:p>
    <w:p w:rsidR="00AA37D0" w:rsidRDefault="003628EF" w:rsidP="003628EF">
      <w:pPr>
        <w:spacing w:after="120" w:line="360" w:lineRule="auto"/>
      </w:pPr>
      <w:r>
        <w:t xml:space="preserve">Bürokratik idare aygıtı ve </w:t>
      </w:r>
      <w:r w:rsidR="008E7C1C">
        <w:t xml:space="preserve">rasyonel </w:t>
      </w:r>
      <w:r>
        <w:t xml:space="preserve">hukuk düzeni ile özgün bir nitelik kazanan modern devletin meşru örgütlenme biçimi ise </w:t>
      </w:r>
      <w:r w:rsidRPr="00E7766B">
        <w:rPr>
          <w:i/>
        </w:rPr>
        <w:t>y</w:t>
      </w:r>
      <w:r w:rsidR="002D4899" w:rsidRPr="00E7766B">
        <w:rPr>
          <w:i/>
        </w:rPr>
        <w:t>asal otoritedir</w:t>
      </w:r>
      <w:r>
        <w:t>.</w:t>
      </w:r>
      <w:r w:rsidR="00836548">
        <w:t xml:space="preserve"> Feodal monarşilerin yıkıl</w:t>
      </w:r>
      <w:r w:rsidR="002D4899">
        <w:t>masının ardından</w:t>
      </w:r>
      <w:r w:rsidR="00836548">
        <w:t xml:space="preserve">, önce mutlak, ardından meşruti monarşiler ve nihayetinde de demokratik parlamenter ya da başkanlık rejimleri şeklinde </w:t>
      </w:r>
      <w:r w:rsidR="002D4899">
        <w:t>örgütlenen modern devlet türleri</w:t>
      </w:r>
      <w:r w:rsidR="00836548">
        <w:t xml:space="preserve">, bu sürecin izdüşümüdür. </w:t>
      </w:r>
      <w:r>
        <w:t xml:space="preserve">Yasal otoritede itaat edilen, hukuk normlarıyla inşa edilmiş </w:t>
      </w:r>
      <w:r w:rsidRPr="00E43816">
        <w:rPr>
          <w:i/>
        </w:rPr>
        <w:t>gayri şahsi düzendir</w:t>
      </w:r>
      <w:r w:rsidR="00C57509">
        <w:rPr>
          <w:i/>
        </w:rPr>
        <w:t xml:space="preserve"> </w:t>
      </w:r>
      <w:r w:rsidR="00C57509" w:rsidRPr="00C57509">
        <w:rPr>
          <w:i/>
        </w:rPr>
        <w:t>(unpersönliche Ordnung)</w:t>
      </w:r>
      <w:r>
        <w:t>.</w:t>
      </w:r>
      <w:r w:rsidR="00C57509">
        <w:t xml:space="preserve"> </w:t>
      </w:r>
      <w:r w:rsidR="00915C6A">
        <w:t>Düzene</w:t>
      </w:r>
      <w:r w:rsidR="00E43816">
        <w:t xml:space="preserve"> gayri şahsiliğini veren, genel ve soyut kurallardan oluşan bir hukuk düzeninin varlığı ve somut olaylar açısından iktidarın icrasının</w:t>
      </w:r>
      <w:r w:rsidR="00E7766B">
        <w:t xml:space="preserve"> da</w:t>
      </w:r>
      <w:r w:rsidR="00E43816">
        <w:t xml:space="preserve"> bu kurallara dayanan yargısal ve idari faaliyetler aracılığıyla gerçekleştirilmesidir. Yasal otoritede yönetilenler artık tebaa değil, topluluğun üyesi olan yurttaşlardır. </w:t>
      </w:r>
      <w:r w:rsidR="007532DF">
        <w:t xml:space="preserve">Düzenin gayri şahsiliğini sağlayan bir diğer özellik, </w:t>
      </w:r>
      <w:r w:rsidR="00E43816">
        <w:t>düzenleyici ve icrai işlemler</w:t>
      </w:r>
      <w:r w:rsidR="007532DF">
        <w:t>i hayata geçirirken</w:t>
      </w:r>
      <w:r w:rsidR="00915C6A" w:rsidRPr="00915C6A">
        <w:t xml:space="preserve"> </w:t>
      </w:r>
      <w:r w:rsidR="00915C6A">
        <w:t>yönetenlerin de gayri şahsi düzene tabi</w:t>
      </w:r>
      <w:r w:rsidR="007532DF">
        <w:t xml:space="preserve"> olmalarıdır</w:t>
      </w:r>
      <w:r w:rsidR="00E43816">
        <w:t>. Weber bu noktada, gayri şahsi düzene bağlılığın yalnızca</w:t>
      </w:r>
      <w:r w:rsidR="007532DF">
        <w:t xml:space="preserve"> bürokrasinin</w:t>
      </w:r>
      <w:r w:rsidR="00E43816">
        <w:t xml:space="preserve"> memurlar</w:t>
      </w:r>
      <w:r w:rsidR="007532DF">
        <w:t>ı</w:t>
      </w:r>
      <w:r w:rsidR="00E43816">
        <w:t xml:space="preserve"> için değil, seçilmiş bir devlet başkanı için de geçerli olduğunun altını çizer. </w:t>
      </w:r>
      <w:r>
        <w:t>Kadim ve değişmez geleneklere ya da karizmatik otoritede olduğu gibi duygulara değil, belirli amaçlar doğrultusunda oluşturulmuş ve her zaman için ihtiyaçlar doğrultusunda değiştirilebilir olan kurallara dayanması anlamında, yegâne rasyonel yönetim biçimi yasal otoritedir Weber’e göre.</w:t>
      </w:r>
      <w:r w:rsidR="00E43816">
        <w:rPr>
          <w:rStyle w:val="Funotenzeichen"/>
        </w:rPr>
        <w:footnoteReference w:id="5"/>
      </w:r>
      <w:r w:rsidR="00AA37D0">
        <w:t xml:space="preserve"> </w:t>
      </w:r>
    </w:p>
    <w:p w:rsidR="00B46F56" w:rsidRDefault="00AA37D0" w:rsidP="003628EF">
      <w:pPr>
        <w:spacing w:after="120" w:line="360" w:lineRule="auto"/>
      </w:pPr>
      <w:r>
        <w:t xml:space="preserve">Yasal otoritenin rasyonelliğini ve gayri şahsiliğini pekiştiren öğe, idare aygıtının bürokratikleşmesidir. İdare aygıtı, görev ve yetkilerinin sınır ve çerçevesini belirleyen normlara uygun olarak hareket eder, </w:t>
      </w:r>
      <w:r w:rsidR="007532DF">
        <w:t xml:space="preserve">ayrıca </w:t>
      </w:r>
      <w:r>
        <w:t>hiyerarşik ve liyakate dayalı b</w:t>
      </w:r>
      <w:r w:rsidR="00A910A1">
        <w:t>ir örgütlenme yapısına sahiptir.</w:t>
      </w:r>
      <w:r>
        <w:t xml:space="preserve"> </w:t>
      </w:r>
      <w:r w:rsidR="007532DF">
        <w:t>İ</w:t>
      </w:r>
      <w:r>
        <w:t>dari personel</w:t>
      </w:r>
      <w:r w:rsidR="00A910A1">
        <w:t>,</w:t>
      </w:r>
      <w:r>
        <w:t xml:space="preserve"> idari araçların mülkiyetinden koparılmış</w:t>
      </w:r>
      <w:r w:rsidR="00A910A1">
        <w:t>tır</w:t>
      </w:r>
      <w:r>
        <w:t xml:space="preserve"> ve ücret karşılığında çalışır.</w:t>
      </w:r>
      <w:r w:rsidR="00A910A1">
        <w:t xml:space="preserve"> Rasyonel örgütlenme ve işleyiş tarzıyla b</w:t>
      </w:r>
      <w:r>
        <w:t>ü</w:t>
      </w:r>
      <w:r w:rsidR="00A910A1">
        <w:t xml:space="preserve">rokrasiye dayalı yasal otorite; </w:t>
      </w:r>
      <w:r>
        <w:t>kesinlik, istikrar, disiplin ve güvenilirliğiyle</w:t>
      </w:r>
      <w:r w:rsidR="00A910A1">
        <w:t xml:space="preserve"> iktidarın kullanımı açısından en verimli sonuçların ortaya çıkmasına yol açar.</w:t>
      </w:r>
      <w:r>
        <w:rPr>
          <w:rStyle w:val="Funotenzeichen"/>
        </w:rPr>
        <w:footnoteReference w:id="6"/>
      </w:r>
      <w:r w:rsidR="00A910A1">
        <w:t xml:space="preserve"> </w:t>
      </w:r>
      <w:r>
        <w:t>Weber’in bürokrasinin verimliliğine dair</w:t>
      </w:r>
      <w:r w:rsidR="00A910A1">
        <w:t xml:space="preserve"> bu</w:t>
      </w:r>
      <w:r>
        <w:t xml:space="preserve"> saptamasının, değer yargılarından bağ</w:t>
      </w:r>
      <w:r w:rsidR="00A910A1">
        <w:t>ımsız olarak, otoritenin</w:t>
      </w:r>
      <w:r>
        <w:t xml:space="preserve"> sürekl</w:t>
      </w:r>
      <w:r w:rsidR="00A910A1">
        <w:t>ilik ve istikrarı ile</w:t>
      </w:r>
      <w:r>
        <w:t xml:space="preserve"> topluma nüfuz etme kapasitesiyle </w:t>
      </w:r>
      <w:r w:rsidR="00A910A1">
        <w:t>sınırlı</w:t>
      </w:r>
      <w:r>
        <w:t xml:space="preserve"> olduğunun altı çizilmelidir.</w:t>
      </w:r>
    </w:p>
    <w:p w:rsidR="00357856" w:rsidRDefault="00A11C51" w:rsidP="00362133">
      <w:pPr>
        <w:spacing w:after="120" w:line="360" w:lineRule="auto"/>
      </w:pPr>
      <w:r>
        <w:lastRenderedPageBreak/>
        <w:t>Weber, karizmatik otoriteyi</w:t>
      </w:r>
      <w:r w:rsidR="00A910A1">
        <w:t xml:space="preserve"> ve karizma kavramını</w:t>
      </w:r>
      <w:r>
        <w:t xml:space="preserve"> d</w:t>
      </w:r>
      <w:r w:rsidR="00A910A1">
        <w:t>a</w:t>
      </w:r>
      <w:r>
        <w:t xml:space="preserve"> değer yargılarından bağımsız bir perspektifle açıkla</w:t>
      </w:r>
      <w:r w:rsidR="00A910A1">
        <w:t>maya çalışır</w:t>
      </w:r>
      <w:r>
        <w:t>. Yasal otoritenin kurum ve kurallar</w:t>
      </w:r>
      <w:r w:rsidR="002D4899">
        <w:t xml:space="preserve"> aracılığıyla</w:t>
      </w:r>
      <w:r w:rsidR="002B7EF3">
        <w:t>, geleneksel otoritenin ise siyasi ve toplumsal yaşamı düzenleyen kuralların kadimliği</w:t>
      </w:r>
      <w:r w:rsidR="002D4899">
        <w:t>ne atıfla</w:t>
      </w:r>
      <w:r w:rsidR="002B7EF3">
        <w:t xml:space="preserve"> </w:t>
      </w:r>
      <w:r w:rsidR="00783607">
        <w:t>oluştur</w:t>
      </w:r>
      <w:r w:rsidR="002D4899">
        <w:t>maya çalıştığı</w:t>
      </w:r>
      <w:r>
        <w:t xml:space="preserve"> istikrar ve rutin karşısında karizmatik otorite,</w:t>
      </w:r>
      <w:r w:rsidR="00D503BD">
        <w:t xml:space="preserve"> tarihin her döneminde,</w:t>
      </w:r>
      <w:r w:rsidR="0052504C">
        <w:t xml:space="preserve"> özellikle </w:t>
      </w:r>
      <w:r w:rsidR="0052504C" w:rsidRPr="00362133">
        <w:rPr>
          <w:i/>
        </w:rPr>
        <w:t>siyasi, iktisadi ya da toplumsal kriz anlarındaki</w:t>
      </w:r>
      <w:r w:rsidRPr="00362133">
        <w:rPr>
          <w:i/>
        </w:rPr>
        <w:t xml:space="preserve"> </w:t>
      </w:r>
      <w:r w:rsidR="00783607" w:rsidRPr="00362133">
        <w:rPr>
          <w:i/>
        </w:rPr>
        <w:t>devrimci dönüşüm ve yeniden inşa süreçlerinde</w:t>
      </w:r>
      <w:r w:rsidR="00783607">
        <w:t xml:space="preserve"> ortaya çıkar.</w:t>
      </w:r>
      <w:r w:rsidR="002D4899">
        <w:rPr>
          <w:rStyle w:val="Funotenzeichen"/>
        </w:rPr>
        <w:footnoteReference w:id="7"/>
      </w:r>
      <w:r w:rsidR="008E7C1C">
        <w:t xml:space="preserve"> </w:t>
      </w:r>
      <w:r w:rsidR="00357856">
        <w:t>Weber burada d</w:t>
      </w:r>
      <w:r w:rsidR="008E7C1C">
        <w:t>evrimci dönüşüm ya da yeniden inşa</w:t>
      </w:r>
      <w:r w:rsidR="00357856">
        <w:t xml:space="preserve"> kavramlarını</w:t>
      </w:r>
      <w:r w:rsidR="002D4899">
        <w:t xml:space="preserve"> da</w:t>
      </w:r>
      <w:r w:rsidR="008E7C1C">
        <w:t xml:space="preserve">; modernleşme, toplumsal ilerleme ya da rasyonelleşme </w:t>
      </w:r>
      <w:r w:rsidR="002D4899">
        <w:t>gibi değer yargılarına atıfla</w:t>
      </w:r>
      <w:r w:rsidR="008E7C1C">
        <w:t xml:space="preserve"> değil, </w:t>
      </w:r>
      <w:r w:rsidR="0026612A">
        <w:t xml:space="preserve">siyasi ve toplumsal yapının </w:t>
      </w:r>
      <w:r w:rsidR="0026612A" w:rsidRPr="002D4899">
        <w:rPr>
          <w:i/>
        </w:rPr>
        <w:t>verili</w:t>
      </w:r>
      <w:r w:rsidR="0026612A">
        <w:t xml:space="preserve"> normatif ve ahlaki ölçütlerinin ya da kurumsal örgütlenme ve işleyiş tarzının </w:t>
      </w:r>
      <w:r w:rsidR="0000367C">
        <w:t xml:space="preserve">radikal bir şekilde </w:t>
      </w:r>
      <w:r w:rsidR="0026612A">
        <w:t xml:space="preserve">dönüştürülmesi ya da yıkılması </w:t>
      </w:r>
      <w:r w:rsidR="00357856">
        <w:t>bağlamında kullanır</w:t>
      </w:r>
      <w:r w:rsidR="0026612A">
        <w:t>.</w:t>
      </w:r>
      <w:r w:rsidR="0026612A">
        <w:rPr>
          <w:rStyle w:val="Funotenzeichen"/>
        </w:rPr>
        <w:footnoteReference w:id="8"/>
      </w:r>
      <w:r w:rsidR="00540A1E">
        <w:t xml:space="preserve"> </w:t>
      </w:r>
    </w:p>
    <w:p w:rsidR="00540A1E" w:rsidRDefault="00783607" w:rsidP="00362133">
      <w:pPr>
        <w:spacing w:after="120" w:line="360" w:lineRule="auto"/>
      </w:pPr>
      <w:r>
        <w:t xml:space="preserve">Etimolojik kökenleri itibariyle tanrı vergisi bir özellik </w:t>
      </w:r>
      <w:r w:rsidR="00EC1C23">
        <w:t>anlamına</w:t>
      </w:r>
      <w:r w:rsidR="00362133">
        <w:t xml:space="preserve"> gelen</w:t>
      </w:r>
      <w:r>
        <w:t xml:space="preserve"> karizma</w:t>
      </w:r>
      <w:r w:rsidR="00D503BD">
        <w:t>, sıradan insanları</w:t>
      </w:r>
      <w:r w:rsidR="0000367C">
        <w:t>n</w:t>
      </w:r>
      <w:r w:rsidR="00D503BD">
        <w:t xml:space="preserve"> sahip olmadığı </w:t>
      </w:r>
      <w:r w:rsidR="0000367C">
        <w:t>yetenek</w:t>
      </w:r>
      <w:r w:rsidR="00D503BD">
        <w:t>, kudret ya da istisnai özelliklere işaret eder.</w:t>
      </w:r>
      <w:r w:rsidR="002D4899">
        <w:t xml:space="preserve"> En tipik örneği peygamberler olan karizmatik otoritenin tarihte; modern öncesinin savaş kahramanlarından, modern dönemde Napolyon’a dek pek çok örneğine işaret eden</w:t>
      </w:r>
      <w:r w:rsidR="00D503BD">
        <w:t xml:space="preserve"> </w:t>
      </w:r>
      <w:r w:rsidR="00D503BD" w:rsidRPr="00D503BD">
        <w:t xml:space="preserve">Weber’in bu noktadaki en önemli vurgusu, </w:t>
      </w:r>
      <w:r w:rsidR="00D503BD" w:rsidRPr="002D4899">
        <w:rPr>
          <w:i/>
        </w:rPr>
        <w:t>karizmanın varlığını belirley</w:t>
      </w:r>
      <w:r w:rsidR="0052504C" w:rsidRPr="002D4899">
        <w:rPr>
          <w:i/>
        </w:rPr>
        <w:t>e</w:t>
      </w:r>
      <w:r w:rsidR="00D503BD" w:rsidRPr="002D4899">
        <w:rPr>
          <w:i/>
        </w:rPr>
        <w:t>n</w:t>
      </w:r>
      <w:r w:rsidR="0052504C" w:rsidRPr="002D4899">
        <w:rPr>
          <w:i/>
        </w:rPr>
        <w:t>in</w:t>
      </w:r>
      <w:r w:rsidR="00D503BD" w:rsidRPr="002D4899">
        <w:rPr>
          <w:i/>
        </w:rPr>
        <w:t>, karizmatik liderin takipçileri olduğudur.</w:t>
      </w:r>
      <w:r w:rsidR="00D503BD" w:rsidRPr="00D503BD">
        <w:t xml:space="preserve"> </w:t>
      </w:r>
      <w:r w:rsidR="0052504C">
        <w:t xml:space="preserve">Karizmatik otorite, her zaman için bir </w:t>
      </w:r>
      <w:r w:rsidR="0052504C" w:rsidRPr="002B7EF3">
        <w:rPr>
          <w:i/>
        </w:rPr>
        <w:t>lider</w:t>
      </w:r>
      <w:r w:rsidR="0052504C">
        <w:t xml:space="preserve"> olarak ortaya çıkar ve belirli bir </w:t>
      </w:r>
      <w:r w:rsidR="0052504C" w:rsidRPr="002B7EF3">
        <w:rPr>
          <w:i/>
        </w:rPr>
        <w:t>misyonu</w:t>
      </w:r>
      <w:r w:rsidR="0052504C">
        <w:t xml:space="preserve"> yerine getirme iddiasına sahip</w:t>
      </w:r>
      <w:r w:rsidR="00EC1C23">
        <w:t xml:space="preserve"> olur</w:t>
      </w:r>
      <w:r w:rsidR="0052504C">
        <w:t xml:space="preserve">. </w:t>
      </w:r>
      <w:r w:rsidR="00EC1C23">
        <w:t>Herhangi bir l</w:t>
      </w:r>
      <w:r w:rsidR="0052504C">
        <w:t xml:space="preserve">iderin karizmatik otoriteye dönüşmesini ve </w:t>
      </w:r>
      <w:r w:rsidR="00EC1C23">
        <w:t>otoritesini</w:t>
      </w:r>
      <w:r w:rsidR="0052504C">
        <w:t xml:space="preserve"> korumasını sağlayan yeğene </w:t>
      </w:r>
      <w:r w:rsidR="00EC1C23">
        <w:t>ölçüt, takipçilerinin, liderin</w:t>
      </w:r>
      <w:r w:rsidR="0052504C">
        <w:t xml:space="preserve"> üstlendiği </w:t>
      </w:r>
      <w:r w:rsidR="00EC1C23">
        <w:t>misyonu</w:t>
      </w:r>
      <w:r w:rsidR="0052504C">
        <w:t xml:space="preserve"> yerine getirebilmek için sahip olduğu </w:t>
      </w:r>
      <w:r w:rsidR="00D503BD">
        <w:t xml:space="preserve">olağanüstü vasıf ve meziyetlerine yönelik </w:t>
      </w:r>
      <w:r w:rsidR="00EC1C23">
        <w:rPr>
          <w:i/>
        </w:rPr>
        <w:t>inançlarıdır</w:t>
      </w:r>
      <w:r w:rsidR="00540A1E">
        <w:t>.</w:t>
      </w:r>
      <w:r w:rsidR="005F12C7">
        <w:rPr>
          <w:rStyle w:val="Funotenzeichen"/>
        </w:rPr>
        <w:footnoteReference w:id="9"/>
      </w:r>
      <w:r w:rsidR="00540A1E">
        <w:t xml:space="preserve"> Dolayısıyla </w:t>
      </w:r>
      <w:r w:rsidR="00540A1E" w:rsidRPr="008E1D7C">
        <w:rPr>
          <w:i/>
        </w:rPr>
        <w:t>karizmatik otoritenin ilk ayırt edici özelliği şahsiliktir</w:t>
      </w:r>
      <w:r w:rsidR="008E1D7C">
        <w:t xml:space="preserve"> ve bu nedenle yasal otoritenin tam anlamıyla karşıt kutbunu temsil eder.</w:t>
      </w:r>
    </w:p>
    <w:p w:rsidR="0071000B" w:rsidRDefault="005F12C7" w:rsidP="0071000B">
      <w:pPr>
        <w:spacing w:after="120" w:line="360" w:lineRule="auto"/>
      </w:pPr>
      <w:r>
        <w:t>Weber, karizmatik otoritenin</w:t>
      </w:r>
      <w:r w:rsidR="00D56290">
        <w:t xml:space="preserve"> yalnızca</w:t>
      </w:r>
      <w:r>
        <w:t xml:space="preserve"> yukarıdan dayatılan zora dayanmadığını</w:t>
      </w:r>
      <w:r w:rsidR="00B614A0">
        <w:t>n altını</w:t>
      </w:r>
      <w:r>
        <w:t xml:space="preserve"> özellikle </w:t>
      </w:r>
      <w:r w:rsidR="00B614A0">
        <w:t>çizer</w:t>
      </w:r>
      <w:r>
        <w:t xml:space="preserve">. Karizmatik otoritede lider olarak ortaya çıkan kişi, üstlendiği misyonu layıkıyla yerine getirebileceğini </w:t>
      </w:r>
      <w:r w:rsidR="00A36000">
        <w:t>kanıtladığı</w:t>
      </w:r>
      <w:r w:rsidR="0071000B">
        <w:t xml:space="preserve"> </w:t>
      </w:r>
      <w:r w:rsidR="00A36000" w:rsidRPr="0071000B">
        <w:rPr>
          <w:i/>
        </w:rPr>
        <w:t>(</w:t>
      </w:r>
      <w:r w:rsidR="00A36000" w:rsidRPr="004B7077">
        <w:rPr>
          <w:i/>
        </w:rPr>
        <w:t>Bewährung</w:t>
      </w:r>
      <w:r w:rsidR="00A36000" w:rsidRPr="0071000B">
        <w:rPr>
          <w:i/>
        </w:rPr>
        <w:t>)</w:t>
      </w:r>
      <w:r w:rsidR="00A36000">
        <w:rPr>
          <w:i/>
        </w:rPr>
        <w:t xml:space="preserve"> </w:t>
      </w:r>
      <w:r w:rsidR="00A36000">
        <w:t xml:space="preserve">sürece </w:t>
      </w:r>
      <w:r>
        <w:t xml:space="preserve">liderliğini sürdürür. </w:t>
      </w:r>
      <w:r w:rsidR="00D56290">
        <w:t>Dolayısıyla karizmatik liderliğin</w:t>
      </w:r>
      <w:r>
        <w:t xml:space="preserve"> ölçüt</w:t>
      </w:r>
      <w:r w:rsidR="00D56290">
        <w:t>ü</w:t>
      </w:r>
      <w:r>
        <w:t xml:space="preserve">, takipçilerinin en genel anlamda </w:t>
      </w:r>
      <w:r w:rsidR="00357856">
        <w:t xml:space="preserve">esenliğini </w:t>
      </w:r>
      <w:r w:rsidR="00357856" w:rsidRPr="00357856">
        <w:rPr>
          <w:i/>
        </w:rPr>
        <w:t>(Wohlergehen)</w:t>
      </w:r>
      <w:r>
        <w:t xml:space="preserve"> sağla</w:t>
      </w:r>
      <w:r w:rsidR="00D56290">
        <w:t>yabilmesidir</w:t>
      </w:r>
      <w:r>
        <w:t xml:space="preserve">. </w:t>
      </w:r>
      <w:r w:rsidR="0071000B">
        <w:t xml:space="preserve">Karizmatik otorite ilişkisinde lider, üstlendiği misyonu yerine getirmek açısından zaaf gösterdiğinde, takipçilerinin inancı sarsılır ve </w:t>
      </w:r>
      <w:r w:rsidR="00A36000">
        <w:t xml:space="preserve">ardından </w:t>
      </w:r>
      <w:r w:rsidR="0071000B">
        <w:t>karizmatik otorite ortadan kalkar.</w:t>
      </w:r>
      <w:r w:rsidR="00D826D0">
        <w:rPr>
          <w:rStyle w:val="Funotenzeichen"/>
        </w:rPr>
        <w:footnoteReference w:id="10"/>
      </w:r>
      <w:r w:rsidR="00CA43E7">
        <w:t xml:space="preserve"> Bunun kaçınılmaz sonucu, otoritenin kaba kuvvete dayanarak sürdürülmeye çalışılmasıdır.</w:t>
      </w:r>
      <w:r w:rsidR="00CA43E7">
        <w:rPr>
          <w:rStyle w:val="Funotenzeichen"/>
        </w:rPr>
        <w:footnoteReference w:id="11"/>
      </w:r>
      <w:r w:rsidR="0071000B">
        <w:t xml:space="preserve"> </w:t>
      </w:r>
      <w:r w:rsidR="0071000B">
        <w:lastRenderedPageBreak/>
        <w:t xml:space="preserve">Karizmatik otoritenin yegane </w:t>
      </w:r>
      <w:r w:rsidR="0071000B" w:rsidRPr="0071000B">
        <w:rPr>
          <w:i/>
        </w:rPr>
        <w:t>meşruiyet</w:t>
      </w:r>
      <w:r w:rsidR="0071000B">
        <w:t xml:space="preserve"> kaynağı, liderin sürekli olarak sınanan</w:t>
      </w:r>
      <w:r w:rsidR="00D56290">
        <w:t xml:space="preserve"> </w:t>
      </w:r>
      <w:r w:rsidR="00CA43E7">
        <w:t xml:space="preserve">ve kanıtlanan, </w:t>
      </w:r>
      <w:r w:rsidR="0071000B">
        <w:t xml:space="preserve">olağanüstü </w:t>
      </w:r>
      <w:r w:rsidR="00D56290">
        <w:t xml:space="preserve">niteliklere dayanan </w:t>
      </w:r>
      <w:r w:rsidR="0071000B">
        <w:t>gücüdür.</w:t>
      </w:r>
      <w:r w:rsidR="008E1D7C">
        <w:rPr>
          <w:rStyle w:val="Funotenzeichen"/>
        </w:rPr>
        <w:footnoteReference w:id="12"/>
      </w:r>
      <w:r w:rsidR="00CA43E7">
        <w:t xml:space="preserve"> </w:t>
      </w:r>
    </w:p>
    <w:p w:rsidR="00D56290" w:rsidRDefault="0071000B" w:rsidP="003C25FB">
      <w:pPr>
        <w:spacing w:after="120" w:line="360" w:lineRule="auto"/>
      </w:pPr>
      <w:r>
        <w:t xml:space="preserve">Karizmatik otoritenin </w:t>
      </w:r>
      <w:r w:rsidR="00362133">
        <w:t xml:space="preserve">bir yandan </w:t>
      </w:r>
      <w:r>
        <w:t>istisnai</w:t>
      </w:r>
      <w:r w:rsidR="00362133">
        <w:t xml:space="preserve"> nitelikteki</w:t>
      </w:r>
      <w:r>
        <w:t xml:space="preserve"> krizleri çözme iddiasına dayalı misyonu, diğer yandan bu misyonu yerine getirmek açısından sahip olduğu olağanüstü nitelikleri,</w:t>
      </w:r>
      <w:r w:rsidR="00962AC5">
        <w:t xml:space="preserve"> iktidarın örgütlenişi ve icrası açısından tüm sınırların ortadan kalkışını beraberinde getirir. B</w:t>
      </w:r>
      <w:r w:rsidR="00C72F5B">
        <w:t xml:space="preserve">u </w:t>
      </w:r>
      <w:r w:rsidR="00962AC5">
        <w:t>anlamda karizmatik otorite</w:t>
      </w:r>
      <w:r w:rsidR="00962AC5" w:rsidRPr="008E1D7C">
        <w:rPr>
          <w:i/>
        </w:rPr>
        <w:t xml:space="preserve">, </w:t>
      </w:r>
      <w:r w:rsidR="00D56290" w:rsidRPr="008E1D7C">
        <w:rPr>
          <w:i/>
        </w:rPr>
        <w:t xml:space="preserve">herhangi bir </w:t>
      </w:r>
      <w:r w:rsidR="00962AC5" w:rsidRPr="008E1D7C">
        <w:rPr>
          <w:i/>
        </w:rPr>
        <w:t>kurum</w:t>
      </w:r>
      <w:r w:rsidR="00D56290" w:rsidRPr="008E1D7C">
        <w:rPr>
          <w:i/>
        </w:rPr>
        <w:t>un ve geleneksel ya da rasyonel</w:t>
      </w:r>
      <w:r w:rsidR="00962AC5" w:rsidRPr="008E1D7C">
        <w:rPr>
          <w:i/>
        </w:rPr>
        <w:t xml:space="preserve"> kuralların </w:t>
      </w:r>
      <w:r w:rsidR="00D56290" w:rsidRPr="008E1D7C">
        <w:rPr>
          <w:i/>
        </w:rPr>
        <w:t>bağlayıcı ve yönlendirici</w:t>
      </w:r>
      <w:r w:rsidR="00962AC5" w:rsidRPr="008E1D7C">
        <w:rPr>
          <w:i/>
        </w:rPr>
        <w:t xml:space="preserve"> </w:t>
      </w:r>
      <w:r w:rsidR="008E1D7C">
        <w:rPr>
          <w:i/>
        </w:rPr>
        <w:t>etkisine tabi değildir</w:t>
      </w:r>
      <w:r w:rsidR="00962AC5" w:rsidRPr="008E1D7C">
        <w:rPr>
          <w:i/>
        </w:rPr>
        <w:t>.</w:t>
      </w:r>
      <w:r w:rsidR="002C422B" w:rsidRPr="002C422B">
        <w:rPr>
          <w:rStyle w:val="Funotenzeichen"/>
        </w:rPr>
        <w:t xml:space="preserve"> </w:t>
      </w:r>
      <w:r w:rsidR="00C72F5B">
        <w:t xml:space="preserve">Geleneksel otoritenin, rasyonel ve kurumsal olmayan geleneksel sınırlara, yasal otoritenin ise hukuk düzenine bağlılık iddiasına kıyasla, karizmatik otoritede </w:t>
      </w:r>
      <w:r w:rsidR="00D56290">
        <w:t xml:space="preserve">liderin kişisel kararları, </w:t>
      </w:r>
      <w:r w:rsidR="00C72F5B">
        <w:t>belirleyicidir.</w:t>
      </w:r>
      <w:r w:rsidR="002C422B">
        <w:rPr>
          <w:rStyle w:val="Funotenzeichen"/>
        </w:rPr>
        <w:footnoteReference w:id="13"/>
      </w:r>
      <w:r w:rsidR="003C25FB" w:rsidRPr="003C25FB">
        <w:t xml:space="preserve"> </w:t>
      </w:r>
      <w:r w:rsidR="005912A5">
        <w:t xml:space="preserve">Bu nedenle, </w:t>
      </w:r>
      <w:r w:rsidR="005912A5" w:rsidRPr="008E1D7C">
        <w:rPr>
          <w:i/>
        </w:rPr>
        <w:t>normatif sınırlara bağlı olamama anlamında keyfilik</w:t>
      </w:r>
      <w:r w:rsidR="00E7053D">
        <w:rPr>
          <w:i/>
        </w:rPr>
        <w:t>,</w:t>
      </w:r>
      <w:r w:rsidR="005912A5" w:rsidRPr="008E1D7C">
        <w:rPr>
          <w:i/>
        </w:rPr>
        <w:t xml:space="preserve"> karizmatik otoritenin ikinci temel özelliğidir.</w:t>
      </w:r>
    </w:p>
    <w:p w:rsidR="00EC1C23" w:rsidRDefault="003C25FB" w:rsidP="00962AC5">
      <w:pPr>
        <w:spacing w:after="120" w:line="360" w:lineRule="auto"/>
      </w:pPr>
      <w:r>
        <w:t>Karizmatik otoritenin, kurum ve kurallara yabancı tüm bu niteliklerine rağmen, herhangi bir yapıdan yoksun</w:t>
      </w:r>
      <w:r w:rsidR="00A36000">
        <w:t>,</w:t>
      </w:r>
      <w:r>
        <w:t xml:space="preserve"> biçimsiz iktidar tarzı olmadığını da vurgular Weber. </w:t>
      </w:r>
      <w:r w:rsidRPr="00962AC5">
        <w:t xml:space="preserve">Karizmatik </w:t>
      </w:r>
      <w:r>
        <w:t>liderin</w:t>
      </w:r>
      <w:r w:rsidRPr="00962AC5">
        <w:t xml:space="preserve"> misyonuna uygun hizmet ve araçlara sahip bir </w:t>
      </w:r>
      <w:r w:rsidRPr="00962AC5">
        <w:rPr>
          <w:i/>
        </w:rPr>
        <w:t>yapı</w:t>
      </w:r>
      <w:r>
        <w:t xml:space="preserve"> ya da en genel anlamıyla bir örgütlenme</w:t>
      </w:r>
      <w:r w:rsidRPr="00962AC5">
        <w:t xml:space="preserve"> karizmatik otoritede</w:t>
      </w:r>
      <w:r w:rsidR="00A36000">
        <w:t xml:space="preserve"> de</w:t>
      </w:r>
      <w:r w:rsidRPr="00962AC5">
        <w:t xml:space="preserve"> vardır. Fakat burada liderin altında, </w:t>
      </w:r>
      <w:r w:rsidRPr="00D56290">
        <w:rPr>
          <w:i/>
        </w:rPr>
        <w:t>lidere sadakate</w:t>
      </w:r>
      <w:r w:rsidRPr="00962AC5">
        <w:t xml:space="preserve"> göre ve bunun yanı sıra karizmatik niteliklerine göre atanan karizmatik bir aristokrasi söz konusudur.</w:t>
      </w:r>
      <w:r>
        <w:rPr>
          <w:rStyle w:val="Funotenzeichen"/>
        </w:rPr>
        <w:footnoteReference w:id="14"/>
      </w:r>
      <w:r w:rsidR="00D56290">
        <w:t xml:space="preserve"> K</w:t>
      </w:r>
      <w:r w:rsidR="00362133">
        <w:t>arizmatik otoritenin</w:t>
      </w:r>
      <w:r w:rsidR="0000367C">
        <w:t>;</w:t>
      </w:r>
      <w:r w:rsidR="00362133">
        <w:t xml:space="preserve"> hiyerarşi</w:t>
      </w:r>
      <w:r w:rsidR="0071000B">
        <w:t>, atama ve görevden alma kriter</w:t>
      </w:r>
      <w:r w:rsidR="00362133">
        <w:t xml:space="preserve">leri </w:t>
      </w:r>
      <w:r w:rsidR="0000367C">
        <w:t xml:space="preserve">önceden </w:t>
      </w:r>
      <w:r w:rsidR="00362133">
        <w:t>belirl</w:t>
      </w:r>
      <w:r w:rsidR="0000367C">
        <w:t>enmiş</w:t>
      </w:r>
      <w:r w:rsidR="00362133">
        <w:t xml:space="preserve"> bir idari</w:t>
      </w:r>
      <w:r w:rsidR="0000367C">
        <w:t xml:space="preserve"> aygıtı</w:t>
      </w:r>
      <w:r w:rsidR="00362133">
        <w:t xml:space="preserve"> bulunmaz</w:t>
      </w:r>
      <w:r w:rsidR="009A6C3B">
        <w:t xml:space="preserve">. </w:t>
      </w:r>
      <w:r w:rsidR="00807FBB">
        <w:t>Lider, k</w:t>
      </w:r>
      <w:r w:rsidR="0071000B">
        <w:t xml:space="preserve">arizmatik niteliklerine göre </w:t>
      </w:r>
      <w:r w:rsidR="00807FBB">
        <w:t>atadığı</w:t>
      </w:r>
      <w:r w:rsidR="0071000B">
        <w:t xml:space="preserve"> </w:t>
      </w:r>
      <w:r w:rsidR="009A6C3B">
        <w:t>yönetici</w:t>
      </w:r>
      <w:r w:rsidR="00807FBB">
        <w:t>lere</w:t>
      </w:r>
      <w:r w:rsidR="0071000B">
        <w:t>, verilen görevleri yerine getirme</w:t>
      </w:r>
      <w:r w:rsidR="00807FBB">
        <w:t>kte</w:t>
      </w:r>
      <w:r w:rsidR="0071000B">
        <w:t xml:space="preserve"> başarısız ol</w:t>
      </w:r>
      <w:r w:rsidR="00807FBB">
        <w:t>duklarını düşündüğü her an</w:t>
      </w:r>
      <w:r w:rsidR="009A6C3B">
        <w:t xml:space="preserve"> </w:t>
      </w:r>
      <w:r w:rsidR="0071000B">
        <w:t>müdahale edebilir. Bunun dışında,</w:t>
      </w:r>
      <w:r w:rsidR="00807FBB">
        <w:t xml:space="preserve"> karizmatik otoritenin yönetim aygıtında görev sınırları belirlenmiş</w:t>
      </w:r>
      <w:r w:rsidR="0071000B">
        <w:t xml:space="preserve"> idari makamlar yoktur,</w:t>
      </w:r>
      <w:r w:rsidR="00807FBB">
        <w:t xml:space="preserve"> ayrıca genel nitelikte</w:t>
      </w:r>
      <w:r w:rsidR="0071000B">
        <w:t xml:space="preserve"> soyut kurallar</w:t>
      </w:r>
      <w:r w:rsidR="008E1D7C">
        <w:t xml:space="preserve"> bulunmaz</w:t>
      </w:r>
      <w:r w:rsidR="0071000B">
        <w:t xml:space="preserve"> ve </w:t>
      </w:r>
      <w:r w:rsidR="008E1D7C">
        <w:t>tabii ki soyut ve öngörülebilir kurallar</w:t>
      </w:r>
      <w:r w:rsidR="0071000B">
        <w:t xml:space="preserve"> çerçevesinde işleyen yargısal</w:t>
      </w:r>
      <w:r w:rsidR="00807FBB">
        <w:t xml:space="preserve"> bir</w:t>
      </w:r>
      <w:r w:rsidR="0071000B">
        <w:t xml:space="preserve"> faaliyet</w:t>
      </w:r>
      <w:r w:rsidR="008E1D7C">
        <w:t xml:space="preserve"> de</w:t>
      </w:r>
      <w:r w:rsidR="00807FBB">
        <w:t xml:space="preserve"> yürütülmez</w:t>
      </w:r>
      <w:r w:rsidR="0071000B">
        <w:t>.</w:t>
      </w:r>
      <w:r w:rsidR="0071000B" w:rsidRPr="0071000B">
        <w:t xml:space="preserve"> </w:t>
      </w:r>
      <w:r w:rsidR="0071000B">
        <w:t xml:space="preserve">İstisnai ya da olağanüstü hallerde, özellikle siyasi ya da toplumsal krizlerde </w:t>
      </w:r>
      <w:r w:rsidR="008E1D7C">
        <w:t xml:space="preserve">ortaya çıkan </w:t>
      </w:r>
      <w:r w:rsidR="008E1D7C" w:rsidRPr="008E1D7C">
        <w:rPr>
          <w:i/>
        </w:rPr>
        <w:t>karizmatik otorite</w:t>
      </w:r>
      <w:r w:rsidR="0071000B" w:rsidRPr="008E1D7C">
        <w:rPr>
          <w:i/>
        </w:rPr>
        <w:t xml:space="preserve"> kendi sınırlarını</w:t>
      </w:r>
      <w:r w:rsidR="008E1D7C">
        <w:rPr>
          <w:i/>
        </w:rPr>
        <w:t xml:space="preserve"> ancak</w:t>
      </w:r>
      <w:r w:rsidR="0071000B" w:rsidRPr="008E1D7C">
        <w:rPr>
          <w:i/>
        </w:rPr>
        <w:t xml:space="preserve"> kendi belirler.</w:t>
      </w:r>
      <w:r w:rsidR="0071000B">
        <w:t xml:space="preserve"> Karizmatik lider, üstlendiği </w:t>
      </w:r>
      <w:r w:rsidR="0000367C">
        <w:t>misyonu</w:t>
      </w:r>
      <w:r w:rsidR="0071000B">
        <w:t xml:space="preserve"> yerine getirmek için her türlü aracı kullanabilir ve emirlerine uyulmasını, üstlendiği bu </w:t>
      </w:r>
      <w:r w:rsidR="009A6C3B">
        <w:t>misyona</w:t>
      </w:r>
      <w:r w:rsidR="0071000B">
        <w:t xml:space="preserve"> dayanarak talep eder. Burada</w:t>
      </w:r>
      <w:r w:rsidR="00362133">
        <w:t xml:space="preserve"> da</w:t>
      </w:r>
      <w:r w:rsidR="0071000B">
        <w:t xml:space="preserve"> belirleyici olan, takipçilerinin onun karizmasını tanımasını sürdürmesidir.</w:t>
      </w:r>
      <w:r w:rsidR="008E1D7C">
        <w:rPr>
          <w:rStyle w:val="Funotenzeichen"/>
        </w:rPr>
        <w:footnoteReference w:id="15"/>
      </w:r>
    </w:p>
    <w:p w:rsidR="00C72F5B" w:rsidRDefault="00C72F5B" w:rsidP="00962AC5">
      <w:pPr>
        <w:spacing w:after="120" w:line="360" w:lineRule="auto"/>
      </w:pPr>
      <w:r w:rsidRPr="00C72F5B">
        <w:t>Weber</w:t>
      </w:r>
      <w:r w:rsidR="008E1D7C">
        <w:t>,</w:t>
      </w:r>
      <w:r w:rsidRPr="00C72F5B">
        <w:t xml:space="preserve"> karizmatik otoritenin </w:t>
      </w:r>
      <w:r w:rsidR="00807FBB">
        <w:t>en saf halin</w:t>
      </w:r>
      <w:r w:rsidR="0000367C">
        <w:t>e yaklaşabilen durumların</w:t>
      </w:r>
      <w:r w:rsidRPr="00C72F5B">
        <w:t xml:space="preserve">, ancak devrimci ve yenilikçi </w:t>
      </w:r>
      <w:r w:rsidR="00807FBB">
        <w:t>dönem ya da anlarda</w:t>
      </w:r>
      <w:r w:rsidRPr="00C72F5B">
        <w:t xml:space="preserve"> </w:t>
      </w:r>
      <w:r w:rsidR="00807FBB">
        <w:t>ortaya çıktığını</w:t>
      </w:r>
      <w:r w:rsidRPr="00C72F5B">
        <w:t>,</w:t>
      </w:r>
      <w:r w:rsidR="00807FBB">
        <w:t xml:space="preserve"> bu özelliğinden kaynaklanan</w:t>
      </w:r>
      <w:r w:rsidRPr="00C72F5B">
        <w:t xml:space="preserve"> geçici</w:t>
      </w:r>
      <w:r w:rsidR="00807FBB">
        <w:t xml:space="preserve"> niteliğini yitirerek</w:t>
      </w:r>
      <w:r w:rsidRPr="00C72F5B">
        <w:t xml:space="preserve"> süre</w:t>
      </w:r>
      <w:r w:rsidR="00807FBB">
        <w:t>kli bir ilişki biçimi aldığında</w:t>
      </w:r>
      <w:r w:rsidRPr="00C72F5B">
        <w:t xml:space="preserve"> rutinleşeceğini, geleneksel</w:t>
      </w:r>
      <w:r w:rsidR="0000367C">
        <w:t>leşeceğini</w:t>
      </w:r>
      <w:r w:rsidRPr="00C72F5B">
        <w:t xml:space="preserve"> ve/veya yasallaşacağını </w:t>
      </w:r>
      <w:r w:rsidR="00A36000">
        <w:t>belirtir</w:t>
      </w:r>
      <w:r w:rsidRPr="00C72F5B">
        <w:t>.</w:t>
      </w:r>
      <w:r w:rsidR="008E1D7C">
        <w:t xml:space="preserve"> </w:t>
      </w:r>
      <w:r w:rsidR="0000367C">
        <w:t xml:space="preserve">Bu nedenle </w:t>
      </w:r>
      <w:r w:rsidR="0000367C">
        <w:rPr>
          <w:i/>
        </w:rPr>
        <w:t>k</w:t>
      </w:r>
      <w:r w:rsidR="008E1D7C" w:rsidRPr="008E1D7C">
        <w:rPr>
          <w:i/>
        </w:rPr>
        <w:t>arizmatik otoritenin üçüncü temel özelliği istikrarsız olmasıdır.</w:t>
      </w:r>
      <w:r w:rsidRPr="00C72F5B">
        <w:t xml:space="preserve"> </w:t>
      </w:r>
      <w:r w:rsidR="008E1D7C">
        <w:t xml:space="preserve">Şahsiliği ve kurallara yabancı niteliği, karizmatik otoritenin uzun vadede sürdürülmesini olanaksız kılar. </w:t>
      </w:r>
      <w:r w:rsidRPr="00C72F5B">
        <w:lastRenderedPageBreak/>
        <w:t>Toplumsal ilişkilerin sürekliliği ve istikrarı açısın</w:t>
      </w:r>
      <w:r w:rsidR="00A36000">
        <w:t>dan, ayrıca iktisadi ilişkiler ile</w:t>
      </w:r>
      <w:r w:rsidRPr="00C72F5B">
        <w:t xml:space="preserve"> yönetilenlerin</w:t>
      </w:r>
      <w:r w:rsidR="00A36000">
        <w:t xml:space="preserve"> ve</w:t>
      </w:r>
      <w:r w:rsidRPr="00C72F5B">
        <w:t xml:space="preserve"> yönet</w:t>
      </w:r>
      <w:r w:rsidR="00A36000">
        <w:t>ici aristokrasinin</w:t>
      </w:r>
      <w:r w:rsidRPr="00C72F5B">
        <w:t xml:space="preserve"> güvenliği açısından karizmatik otoritenin rutinleşmesi kaçınılmaz hale gelir. </w:t>
      </w:r>
      <w:r w:rsidR="00A36000">
        <w:t>Ayrıca</w:t>
      </w:r>
      <w:r w:rsidR="008E1D7C">
        <w:t xml:space="preserve"> kişiye bağlı otoritenin</w:t>
      </w:r>
      <w:r w:rsidR="00A36000">
        <w:t>,</w:t>
      </w:r>
      <w:r w:rsidR="008E1D7C">
        <w:t xml:space="preserve"> liderin yaşamı ile sınırlı olması ve karizmanın kişiye özgülüğü, halef belirlenmesini zorlu bir sorun haline getirir.</w:t>
      </w:r>
      <w:r w:rsidR="008E1D7C">
        <w:rPr>
          <w:rStyle w:val="Funotenzeichen"/>
        </w:rPr>
        <w:footnoteReference w:id="16"/>
      </w:r>
      <w:r w:rsidR="008E1D7C">
        <w:t xml:space="preserve"> </w:t>
      </w:r>
    </w:p>
    <w:p w:rsidR="00C72F5B" w:rsidRDefault="00C72F5B" w:rsidP="00962AC5">
      <w:pPr>
        <w:spacing w:after="120" w:line="360" w:lineRule="auto"/>
      </w:pPr>
      <w:r>
        <w:t xml:space="preserve">Weber, bu </w:t>
      </w:r>
      <w:r w:rsidR="00E7053D">
        <w:t>üç</w:t>
      </w:r>
      <w:r w:rsidR="00D64333">
        <w:t xml:space="preserve"> </w:t>
      </w:r>
      <w:r>
        <w:t>otorite tür</w:t>
      </w:r>
      <w:r w:rsidR="00D64333">
        <w:t>ün</w:t>
      </w:r>
      <w:r w:rsidR="008E1D7C">
        <w:t>den</w:t>
      </w:r>
      <w:r>
        <w:t xml:space="preserve"> hiçbirinin</w:t>
      </w:r>
      <w:r w:rsidR="00D64333">
        <w:t>,</w:t>
      </w:r>
      <w:r>
        <w:t xml:space="preserve"> tarihin herhangi bir döneminde saf haliyle </w:t>
      </w:r>
      <w:r w:rsidR="008E1D7C">
        <w:t>gözlemlenemeyeceğinin altını çizer.</w:t>
      </w:r>
      <w:r>
        <w:rPr>
          <w:rStyle w:val="Funotenzeichen"/>
        </w:rPr>
        <w:footnoteReference w:id="17"/>
      </w:r>
      <w:r w:rsidR="008F33CF">
        <w:t xml:space="preserve"> </w:t>
      </w:r>
      <w:r w:rsidR="00072CFB">
        <w:t>K</w:t>
      </w:r>
      <w:r w:rsidR="008F33CF">
        <w:t xml:space="preserve">arizmatik otoritenin, modern dönemdeki en tipik örneği olarak kabul edilen Nazi Almanyası’nda dahi, Hitler’in </w:t>
      </w:r>
      <w:r w:rsidR="00603FEB">
        <w:t xml:space="preserve">sarsılmaz karizmatik otoritesinin </w:t>
      </w:r>
      <w:r w:rsidR="00C262F8">
        <w:t>yanı sıra bürokrasiye dayanan</w:t>
      </w:r>
      <w:r w:rsidR="008F33CF">
        <w:t xml:space="preserve"> yasal</w:t>
      </w:r>
      <w:r w:rsidR="00C262F8">
        <w:t xml:space="preserve"> otoritenin belirli düzeyde</w:t>
      </w:r>
      <w:r w:rsidR="008F33CF">
        <w:t xml:space="preserve"> varlığını korum</w:t>
      </w:r>
      <w:r w:rsidR="00D64333">
        <w:t>ası,</w:t>
      </w:r>
      <w:r w:rsidR="00C262F8">
        <w:rPr>
          <w:rStyle w:val="Funotenzeichen"/>
        </w:rPr>
        <w:footnoteReference w:id="18"/>
      </w:r>
      <w:r w:rsidR="00D64333">
        <w:t xml:space="preserve"> Weber’in bu saptamasını teyit eder</w:t>
      </w:r>
      <w:r w:rsidR="008F33CF">
        <w:t>.</w:t>
      </w:r>
      <w:r>
        <w:t xml:space="preserve"> Weber’in oluşturduğu </w:t>
      </w:r>
      <w:r w:rsidR="00072CFB">
        <w:t xml:space="preserve">diğer </w:t>
      </w:r>
      <w:r>
        <w:t xml:space="preserve">ideal </w:t>
      </w:r>
      <w:r w:rsidR="00072CFB">
        <w:t>sınıflandırmalar gibi otorite türlerinin de işlevi;</w:t>
      </w:r>
      <w:r>
        <w:t xml:space="preserve"> kaotik ve karmaşık nitelikteki verileri tasnif etmek, yapılandırmak ve böylelikle</w:t>
      </w:r>
      <w:r w:rsidR="00072CFB">
        <w:t xml:space="preserve"> veriye dayalı</w:t>
      </w:r>
      <w:r>
        <w:t xml:space="preserve"> değerlendirmeler için kolaylaştırıcı bir zemin oluşt</w:t>
      </w:r>
      <w:r w:rsidR="00072CFB">
        <w:t>urmaktır</w:t>
      </w:r>
      <w:r>
        <w:t>.</w:t>
      </w:r>
      <w:r>
        <w:rPr>
          <w:rStyle w:val="Funotenzeichen"/>
        </w:rPr>
        <w:footnoteReference w:id="19"/>
      </w:r>
      <w:r w:rsidR="008F33CF">
        <w:t xml:space="preserve"> </w:t>
      </w:r>
      <w:r w:rsidR="00807FBB">
        <w:t>Bu çerçevede,</w:t>
      </w:r>
      <w:r w:rsidR="00B67453">
        <w:t xml:space="preserve"> </w:t>
      </w:r>
      <w:r w:rsidR="00603FEB">
        <w:t xml:space="preserve">somut </w:t>
      </w:r>
      <w:r w:rsidR="00B67453">
        <w:t>bir siyasi rejim bağlamında</w:t>
      </w:r>
      <w:r w:rsidR="00807FBB">
        <w:t xml:space="preserve"> yapılacak bir değerlendirmede</w:t>
      </w:r>
      <w:r w:rsidR="00DA27C9">
        <w:t xml:space="preserve"> araştırılacak</w:t>
      </w:r>
      <w:r w:rsidR="008F33CF">
        <w:t xml:space="preserve"> temel sorun, bir otoritenin </w:t>
      </w:r>
      <w:r w:rsidR="00C262F8">
        <w:t xml:space="preserve">tam anlamıyla </w:t>
      </w:r>
      <w:r w:rsidR="008F33CF">
        <w:t>karizmatik olup olmadığı değil,</w:t>
      </w:r>
      <w:r w:rsidR="00DA27C9">
        <w:t xml:space="preserve"> rejim </w:t>
      </w:r>
      <w:r w:rsidR="008F33CF">
        <w:t>karizmatikleşme</w:t>
      </w:r>
      <w:r w:rsidR="00C262F8">
        <w:t>si</w:t>
      </w:r>
      <w:r w:rsidR="008F33CF">
        <w:t>nin düzeyi ve kapsamıdır.</w:t>
      </w:r>
      <w:r w:rsidR="006A2C43">
        <w:rPr>
          <w:rStyle w:val="Funotenzeichen"/>
        </w:rPr>
        <w:footnoteReference w:id="20"/>
      </w:r>
      <w:r w:rsidR="00656C60">
        <w:t xml:space="preserve"> </w:t>
      </w:r>
    </w:p>
    <w:p w:rsidR="00216377" w:rsidRPr="00216377" w:rsidRDefault="00216377" w:rsidP="00616959">
      <w:pPr>
        <w:pStyle w:val="berschrift1"/>
        <w:numPr>
          <w:ilvl w:val="0"/>
          <w:numId w:val="1"/>
        </w:numPr>
      </w:pPr>
      <w:r>
        <w:t>Tanör ve Eroğul’un Saptamaları</w:t>
      </w:r>
      <w:r w:rsidR="009A6C3B">
        <w:t xml:space="preserve"> </w:t>
      </w:r>
    </w:p>
    <w:p w:rsidR="009A6C3B" w:rsidRDefault="009A6C3B" w:rsidP="00933C1B">
      <w:pPr>
        <w:spacing w:after="120" w:line="360" w:lineRule="auto"/>
      </w:pPr>
      <w:r>
        <w:t>Weber’in otorite türlerine dair geliştirdiği kuramsal perspektif</w:t>
      </w:r>
      <w:r w:rsidR="006A2C43">
        <w:t xml:space="preserve"> çerçevesinde</w:t>
      </w:r>
      <w:r w:rsidR="00915055">
        <w:t xml:space="preserve"> Türkiye’nin son yıllarda </w:t>
      </w:r>
      <w:r>
        <w:t>siyasi ve huk</w:t>
      </w:r>
      <w:r w:rsidR="00D64333">
        <w:t>uki düzlemde yaşa</w:t>
      </w:r>
      <w:r w:rsidR="00915055">
        <w:t>dığı</w:t>
      </w:r>
      <w:r w:rsidR="00D64333">
        <w:t xml:space="preserve"> dönüşüm</w:t>
      </w:r>
      <w:r w:rsidR="00915055">
        <w:t>leri değerlendirmeye başla</w:t>
      </w:r>
      <w:r w:rsidR="00603FEB">
        <w:t>rken</w:t>
      </w:r>
      <w:r w:rsidR="00915055">
        <w:t>,</w:t>
      </w:r>
      <w:r>
        <w:t xml:space="preserve"> </w:t>
      </w:r>
      <w:r w:rsidR="00915055">
        <w:t>birkaç hususun altını çizmek gerekir</w:t>
      </w:r>
      <w:r>
        <w:t xml:space="preserve">. </w:t>
      </w:r>
      <w:r w:rsidR="00C262F8">
        <w:t>Bunlardan ilki</w:t>
      </w:r>
      <w:r w:rsidR="00915055">
        <w:t>, cumhuriyet tarihi boyunca gerçekleşen</w:t>
      </w:r>
      <w:r>
        <w:t xml:space="preserve"> siyasi, iktisadi ve toplumsal gelişmelerin bir bütün </w:t>
      </w:r>
      <w:r w:rsidR="00915055">
        <w:t>ve ayrıntılı olarak i</w:t>
      </w:r>
      <w:r w:rsidR="00BA42F3">
        <w:t>ncelenmesi</w:t>
      </w:r>
      <w:r w:rsidR="00C262F8">
        <w:t>nin</w:t>
      </w:r>
      <w:r w:rsidR="00BA42F3">
        <w:t>, bu sunumun kapsamını</w:t>
      </w:r>
      <w:r>
        <w:t xml:space="preserve"> aşa</w:t>
      </w:r>
      <w:r w:rsidR="00C262F8">
        <w:t>cağıdır</w:t>
      </w:r>
      <w:r>
        <w:t xml:space="preserve">. </w:t>
      </w:r>
      <w:r w:rsidR="006A2C43">
        <w:t>Dolayısıyla bu</w:t>
      </w:r>
      <w:r w:rsidR="00915055">
        <w:t>rada</w:t>
      </w:r>
      <w:r>
        <w:t xml:space="preserve"> </w:t>
      </w:r>
      <w:r w:rsidR="00B7225F">
        <w:t>bir yandan</w:t>
      </w:r>
      <w:r w:rsidR="00603FEB">
        <w:t xml:space="preserve"> başta Bülent Tanör olmak üzere</w:t>
      </w:r>
      <w:r w:rsidR="00B7225F">
        <w:t xml:space="preserve"> </w:t>
      </w:r>
      <w:r w:rsidR="00BA42F3">
        <w:t xml:space="preserve">Türkiye’deki </w:t>
      </w:r>
      <w:r w:rsidR="00B7225F">
        <w:t>kamu hukukçularının</w:t>
      </w:r>
      <w:r w:rsidR="006A2C43">
        <w:t xml:space="preserve"> konuya dair</w:t>
      </w:r>
      <w:r w:rsidR="00B7225F">
        <w:t xml:space="preserve"> saptamalarından yararlanılacak, diğer yandan tartışma,</w:t>
      </w:r>
      <w:r w:rsidR="006A2C43">
        <w:t xml:space="preserve"> Weber’in otorite türlerinin merkezine yerleştirdiği</w:t>
      </w:r>
      <w:r w:rsidR="00B7225F">
        <w:t xml:space="preserve"> </w:t>
      </w:r>
      <w:r w:rsidR="00B7225F" w:rsidRPr="00224EDD">
        <w:rPr>
          <w:i/>
        </w:rPr>
        <w:t>meşruiyet vaadi</w:t>
      </w:r>
      <w:r w:rsidR="006A2C43">
        <w:t xml:space="preserve"> </w:t>
      </w:r>
      <w:r w:rsidR="00915055">
        <w:t>ile</w:t>
      </w:r>
      <w:r w:rsidR="006A2C43">
        <w:t xml:space="preserve"> </w:t>
      </w:r>
      <w:r w:rsidR="00B7225F">
        <w:t xml:space="preserve">sınırlandırılacaktır. </w:t>
      </w:r>
      <w:r w:rsidR="00224EDD">
        <w:t>Bu</w:t>
      </w:r>
      <w:r w:rsidR="00915055">
        <w:t xml:space="preserve"> açıdan sunumun temel iddiası</w:t>
      </w:r>
      <w:r w:rsidR="00224EDD">
        <w:t>, Türkiye’de siyasi iktidarın, yalnızca karizmatik otorite</w:t>
      </w:r>
      <w:r w:rsidR="00B67453">
        <w:t>ye</w:t>
      </w:r>
      <w:r w:rsidR="00224EDD">
        <w:t xml:space="preserve"> </w:t>
      </w:r>
      <w:r w:rsidR="00B67453">
        <w:t>dayanarak</w:t>
      </w:r>
      <w:r w:rsidR="00224EDD">
        <w:t xml:space="preserve"> yönet</w:t>
      </w:r>
      <w:r w:rsidR="00915055">
        <w:t>tiği</w:t>
      </w:r>
      <w:r w:rsidR="00224EDD">
        <w:t xml:space="preserve"> değil, yasal otoritenin</w:t>
      </w:r>
      <w:r w:rsidR="00B67453">
        <w:t xml:space="preserve"> süreç içinde</w:t>
      </w:r>
      <w:r w:rsidR="00224EDD">
        <w:t xml:space="preserve"> gerileyerek</w:t>
      </w:r>
      <w:r w:rsidR="00FD7D1D">
        <w:t>,</w:t>
      </w:r>
      <w:r w:rsidR="00224EDD">
        <w:t xml:space="preserve"> </w:t>
      </w:r>
      <w:r w:rsidR="00603FEB">
        <w:t>cumhurbaşkanının</w:t>
      </w:r>
      <w:r w:rsidR="00224EDD">
        <w:t xml:space="preserve"> karizmasının</w:t>
      </w:r>
      <w:r w:rsidR="00915055">
        <w:t>,</w:t>
      </w:r>
      <w:r w:rsidR="00224EDD">
        <w:t xml:space="preserve"> siyasi iktidarın düzenleme ve faaliyetleri</w:t>
      </w:r>
      <w:r w:rsidR="00915055">
        <w:t>nin meşruiyeti</w:t>
      </w:r>
      <w:r w:rsidR="00224EDD">
        <w:t xml:space="preserve"> açısından belirleyici hale geldiğidir. </w:t>
      </w:r>
    </w:p>
    <w:p w:rsidR="002679E3" w:rsidRDefault="00FD7D1D" w:rsidP="00FD7D1D">
      <w:pPr>
        <w:spacing w:after="120" w:line="360" w:lineRule="auto"/>
      </w:pPr>
      <w:r>
        <w:lastRenderedPageBreak/>
        <w:t>Siyasi iktidarın meşruiyeti açısından yaşanan dönüşümü kavrayabilmek için</w:t>
      </w:r>
      <w:r w:rsidRPr="00FD7D1D">
        <w:t xml:space="preserve"> </w:t>
      </w:r>
      <w:r>
        <w:t>bir kuşağın iki önemli anayasa hukukçusunun, Bülent Tanör ve Cem Eroğul’un değerlendirmeleri</w:t>
      </w:r>
      <w:r w:rsidR="00603FEB">
        <w:t xml:space="preserve"> yol gösterici niteliktedir</w:t>
      </w:r>
      <w:r>
        <w:t>.</w:t>
      </w:r>
      <w:r w:rsidR="002679E3">
        <w:t xml:space="preserve"> </w:t>
      </w:r>
      <w:r>
        <w:t>D</w:t>
      </w:r>
      <w:r w:rsidR="002679E3">
        <w:t>evletin kurum ve kurallarına yönelik eleştirel yaklaşımlarıyla tanınan</w:t>
      </w:r>
      <w:r w:rsidR="00830F0D">
        <w:t xml:space="preserve"> bu iki</w:t>
      </w:r>
      <w:r w:rsidR="002679E3">
        <w:t xml:space="preserve"> anayasa hukukçu</w:t>
      </w:r>
      <w:r w:rsidR="00830F0D">
        <w:t>sunun</w:t>
      </w:r>
      <w:r w:rsidR="002679E3">
        <w:t xml:space="preserve">, bu kurum ve kuralların </w:t>
      </w:r>
      <w:r w:rsidR="002679E3" w:rsidRPr="002744A0">
        <w:t>verili</w:t>
      </w:r>
      <w:r w:rsidR="00043726">
        <w:t xml:space="preserve"> iktisadi ve siyasi</w:t>
      </w:r>
      <w:r w:rsidR="002679E3" w:rsidRPr="002744A0">
        <w:t xml:space="preserve"> düzen</w:t>
      </w:r>
      <w:r w:rsidR="002679E3">
        <w:t xml:space="preserve"> içindeki değer ya da niteliklerin</w:t>
      </w:r>
      <w:r w:rsidR="001958F9">
        <w:t>e yönelik görüşleri</w:t>
      </w:r>
      <w:r w:rsidR="002744A0">
        <w:t xml:space="preserve">, </w:t>
      </w:r>
      <w:r w:rsidR="00915055">
        <w:t>yasal otoritenin Türkiye’deki kapsam ve düzeyine dair olgusal bir perspektif geliştirmeye yardımcı olabil</w:t>
      </w:r>
      <w:r w:rsidR="00603FEB">
        <w:t>ir</w:t>
      </w:r>
      <w:r w:rsidR="00915055">
        <w:t>.</w:t>
      </w:r>
      <w:r w:rsidR="002679E3">
        <w:t xml:space="preserve"> Bu bağlamda</w:t>
      </w:r>
      <w:r w:rsidR="00D324A6">
        <w:t xml:space="preserve"> </w:t>
      </w:r>
      <w:r w:rsidR="004F3206">
        <w:t>90’ların</w:t>
      </w:r>
      <w:r w:rsidR="00D324A6">
        <w:t xml:space="preserve"> hukuk düzenini insan hakları odaklı bir şekilde</w:t>
      </w:r>
      <w:r w:rsidR="004F3206">
        <w:t xml:space="preserve"> ele alan Bülent Tanör’ün tanıklığına başvur</w:t>
      </w:r>
      <w:r w:rsidR="0057644D">
        <w:t>m</w:t>
      </w:r>
      <w:r w:rsidR="00915055">
        <w:t>ak</w:t>
      </w:r>
      <w:r w:rsidR="004F3206">
        <w:t xml:space="preserve">, </w:t>
      </w:r>
      <w:r w:rsidR="00D324A6">
        <w:t>niteliksel dönüşüm iddiasını</w:t>
      </w:r>
      <w:r w:rsidR="004F3206">
        <w:t xml:space="preserve"> somutlaştırmak </w:t>
      </w:r>
      <w:r w:rsidR="00BA42F3">
        <w:t>açısından sağlam bir başlangıç noktası oluşturur</w:t>
      </w:r>
      <w:r w:rsidR="004F3206">
        <w:t xml:space="preserve">. </w:t>
      </w:r>
    </w:p>
    <w:p w:rsidR="004C7C6E" w:rsidRDefault="004F3206" w:rsidP="00933C1B">
      <w:pPr>
        <w:spacing w:after="120" w:line="360" w:lineRule="auto"/>
      </w:pPr>
      <w:r>
        <w:t>Tanör, 199</w:t>
      </w:r>
      <w:r w:rsidR="00830F0D">
        <w:t>4</w:t>
      </w:r>
      <w:r>
        <w:t xml:space="preserve"> yılında </w:t>
      </w:r>
      <w:r w:rsidR="00E7053D">
        <w:t>üçüncü</w:t>
      </w:r>
      <w:r>
        <w:t xml:space="preserve"> </w:t>
      </w:r>
      <w:r w:rsidR="00D324A6">
        <w:t>b</w:t>
      </w:r>
      <w:r>
        <w:t xml:space="preserve">askısı yapılan </w:t>
      </w:r>
      <w:r w:rsidR="00D324A6">
        <w:t>“</w:t>
      </w:r>
      <w:r>
        <w:t>Türkiye’nin İnsan Hakları Sorunu</w:t>
      </w:r>
      <w:r w:rsidR="00D324A6">
        <w:t>”</w:t>
      </w:r>
      <w:r>
        <w:t xml:space="preserve"> </w:t>
      </w:r>
      <w:r w:rsidR="00E6013F">
        <w:t xml:space="preserve">kitabında, </w:t>
      </w:r>
      <w:r w:rsidR="00151BD5" w:rsidRPr="00151BD5">
        <w:t>insan hakları ihlallerinin</w:t>
      </w:r>
      <w:r w:rsidR="00FD7D1D">
        <w:t xml:space="preserve"> güncel</w:t>
      </w:r>
      <w:r w:rsidR="00151BD5" w:rsidRPr="00151BD5">
        <w:t xml:space="preserve"> boyutlarını</w:t>
      </w:r>
      <w:r w:rsidR="00301941">
        <w:t xml:space="preserve"> </w:t>
      </w:r>
      <w:r w:rsidR="00CD2371">
        <w:t>ayrıntılı bir şekilde</w:t>
      </w:r>
      <w:r w:rsidR="004C7C6E">
        <w:t xml:space="preserve"> </w:t>
      </w:r>
      <w:r w:rsidR="007D4534">
        <w:t>tasvir eder</w:t>
      </w:r>
      <w:r w:rsidR="004C7C6E">
        <w:t>. Yargısız infazlar ve</w:t>
      </w:r>
      <w:r w:rsidR="00151BD5" w:rsidRPr="00151BD5">
        <w:t xml:space="preserve"> işkence</w:t>
      </w:r>
      <w:r w:rsidR="004C7C6E">
        <w:t>den</w:t>
      </w:r>
      <w:r w:rsidR="00151BD5" w:rsidRPr="00151BD5">
        <w:t xml:space="preserve"> bugün </w:t>
      </w:r>
      <w:r w:rsidR="004C7C6E">
        <w:t xml:space="preserve">artık kanuni bir </w:t>
      </w:r>
      <w:r w:rsidR="00EE7EB6">
        <w:t>dayanakla</w:t>
      </w:r>
      <w:r w:rsidR="004C7C6E">
        <w:t xml:space="preserve"> </w:t>
      </w:r>
      <w:r w:rsidR="00A80EBB">
        <w:t xml:space="preserve">tahkim </w:t>
      </w:r>
      <w:r w:rsidR="006D70F9">
        <w:t>edilen</w:t>
      </w:r>
      <w:r w:rsidR="00151BD5" w:rsidRPr="00151BD5">
        <w:t xml:space="preserve"> güvenlik soruşturmaların</w:t>
      </w:r>
      <w:r w:rsidR="004C7C6E">
        <w:t>a,</w:t>
      </w:r>
      <w:r w:rsidR="00151BD5" w:rsidRPr="00151BD5">
        <w:t xml:space="preserve"> kişi özgürlüğü ve güvenliğin</w:t>
      </w:r>
      <w:r w:rsidR="004C7C6E">
        <w:t>den</w:t>
      </w:r>
      <w:r w:rsidR="00151BD5" w:rsidRPr="00151BD5">
        <w:t>, düşünce</w:t>
      </w:r>
      <w:r w:rsidR="00830F0D">
        <w:t>, bilim</w:t>
      </w:r>
      <w:r w:rsidR="00151BD5" w:rsidRPr="00151BD5">
        <w:t xml:space="preserve"> ve basın özgürlüğün</w:t>
      </w:r>
      <w:r w:rsidR="004C7C6E">
        <w:t>e</w:t>
      </w:r>
      <w:r w:rsidR="00CD2371">
        <w:t>,</w:t>
      </w:r>
      <w:r w:rsidR="004C7C6E">
        <w:t xml:space="preserve"> </w:t>
      </w:r>
      <w:r w:rsidR="00151BD5" w:rsidRPr="00151BD5">
        <w:t>kolektif</w:t>
      </w:r>
      <w:r w:rsidR="00387579">
        <w:t>-sosyal</w:t>
      </w:r>
      <w:r w:rsidR="00151BD5" w:rsidRPr="00151BD5">
        <w:t xml:space="preserve"> haklar</w:t>
      </w:r>
      <w:r w:rsidR="00CD2371">
        <w:t>dan</w:t>
      </w:r>
      <w:r w:rsidR="00151BD5" w:rsidRPr="00151BD5">
        <w:t xml:space="preserve"> hak arama özgürlüğüne dek </w:t>
      </w:r>
      <w:r w:rsidR="00CD2371">
        <w:t>geniş bir alanı kapsayan</w:t>
      </w:r>
      <w:r w:rsidR="004C7C6E">
        <w:t xml:space="preserve"> tablo, gerçekten de</w:t>
      </w:r>
      <w:r w:rsidR="00151BD5" w:rsidRPr="00151BD5">
        <w:t xml:space="preserve"> vahimdir.</w:t>
      </w:r>
      <w:r w:rsidR="00224EDD">
        <w:t xml:space="preserve"> </w:t>
      </w:r>
      <w:r w:rsidR="00FD7D1D">
        <w:t>Kuşkusuz bu saptamalar</w:t>
      </w:r>
      <w:r w:rsidR="00224EDD">
        <w:t xml:space="preserve"> ilk bakışta, bugün yaşanılan sürecin, niteliksel bir dönüşüme işaret ettiği yönündeki iddianın temellerini sarsar.</w:t>
      </w:r>
      <w:r w:rsidR="004C7C6E">
        <w:t xml:space="preserve"> Fakat</w:t>
      </w:r>
      <w:r w:rsidR="007667EA" w:rsidRPr="007667EA">
        <w:t xml:space="preserve"> </w:t>
      </w:r>
      <w:r w:rsidR="007667EA">
        <w:t>Türkiye’nin anayasal düzeninin tarih</w:t>
      </w:r>
      <w:r w:rsidR="002D0B2F">
        <w:t>i seyri ve gelişim dinamiklerine dair bugün hala yararlanılan temel eserler veren</w:t>
      </w:r>
      <w:r w:rsidR="007667EA">
        <w:t xml:space="preserve"> Tanör’ün</w:t>
      </w:r>
      <w:r w:rsidR="004C7C6E">
        <w:t>,</w:t>
      </w:r>
      <w:r w:rsidR="007667EA">
        <w:rPr>
          <w:rStyle w:val="Funotenzeichen"/>
        </w:rPr>
        <w:footnoteReference w:id="21"/>
      </w:r>
      <w:r w:rsidR="004C7C6E">
        <w:t xml:space="preserve"> </w:t>
      </w:r>
      <w:r w:rsidR="00301941">
        <w:t>bu tablonun hemen ardından giriştiği analizi</w:t>
      </w:r>
      <w:r w:rsidR="00224EDD">
        <w:t>nde</w:t>
      </w:r>
      <w:r w:rsidR="003A6F94">
        <w:t xml:space="preserve"> yer alan</w:t>
      </w:r>
      <w:r w:rsidR="00224EDD">
        <w:t xml:space="preserve"> bazı değerlendirmeler</w:t>
      </w:r>
      <w:r w:rsidR="00FD7D1D">
        <w:t>, üzerinde özellikle durulmayı hak eder</w:t>
      </w:r>
      <w:r w:rsidR="00224EDD">
        <w:t>:</w:t>
      </w:r>
      <w:r w:rsidR="004C7C6E">
        <w:t xml:space="preserve"> </w:t>
      </w:r>
    </w:p>
    <w:p w:rsidR="00957AA9" w:rsidRDefault="00957AA9" w:rsidP="00933C1B">
      <w:pPr>
        <w:spacing w:after="120" w:line="360" w:lineRule="auto"/>
      </w:pPr>
      <w:r w:rsidRPr="00957AA9">
        <w:t>“</w:t>
      </w:r>
      <w:r>
        <w:t>…</w:t>
      </w:r>
      <w:r w:rsidRPr="00957AA9">
        <w:t xml:space="preserve">Türkiye, askeri darbe ve rejimlere sahne olmasına ve demokrasisinin kısıtlı oluşuna rağmen, terimin gerçek anlamında bir </w:t>
      </w:r>
      <w:r w:rsidRPr="00DE5FD8">
        <w:t>“otoriter rejim”</w:t>
      </w:r>
      <w:r w:rsidRPr="00957AA9">
        <w:t xml:space="preserve"> örneği sayıl</w:t>
      </w:r>
      <w:r>
        <w:t>a</w:t>
      </w:r>
      <w:r w:rsidRPr="00957AA9">
        <w:t xml:space="preserve">maz. Siyasal hayatta sınırlı da olsa bir </w:t>
      </w:r>
      <w:r w:rsidRPr="00DE5FD8">
        <w:rPr>
          <w:i/>
        </w:rPr>
        <w:t>yarışma ve çoğulculuk</w:t>
      </w:r>
      <w:r w:rsidRPr="00957AA9">
        <w:t xml:space="preserve"> vardır.  İktidarın kaynağı seçimlerdir. Demokratik meşruluk esastır. Bütün </w:t>
      </w:r>
      <w:r w:rsidRPr="00DE5FD8">
        <w:rPr>
          <w:i/>
        </w:rPr>
        <w:t>aksaklık ve keyfilik eğ</w:t>
      </w:r>
      <w:r w:rsidR="00E6013F" w:rsidRPr="00DE5FD8">
        <w:rPr>
          <w:i/>
        </w:rPr>
        <w:t>ilimlerine karşın</w:t>
      </w:r>
      <w:r w:rsidR="00E6013F">
        <w:t xml:space="preserve">, </w:t>
      </w:r>
      <w:r w:rsidR="00E6013F" w:rsidRPr="00DE5FD8">
        <w:rPr>
          <w:i/>
        </w:rPr>
        <w:t>kurum ve kura</w:t>
      </w:r>
      <w:r w:rsidRPr="00DE5FD8">
        <w:rPr>
          <w:i/>
        </w:rPr>
        <w:t>llarıyla bir “anayasal yönetim”</w:t>
      </w:r>
      <w:r w:rsidRPr="00957AA9">
        <w:t xml:space="preserve"> anlayışı vardır. </w:t>
      </w:r>
      <w:r w:rsidRPr="00DE5FD8">
        <w:rPr>
          <w:i/>
        </w:rPr>
        <w:t>Kuvvetler ayrılığı ve parlamenter rejim</w:t>
      </w:r>
      <w:r w:rsidRPr="00957AA9">
        <w:t xml:space="preserve"> birer olgudur, 82 Anayasası bunları yok etmiş değildir. </w:t>
      </w:r>
      <w:r w:rsidRPr="00DE5FD8">
        <w:rPr>
          <w:i/>
        </w:rPr>
        <w:t>Hukuk devleti, yargı bağımsızlığı ve yargısal denetim</w:t>
      </w:r>
      <w:r w:rsidRPr="00957AA9">
        <w:t xml:space="preserve"> (idare mahkemeleri, anayasa mahkemesi) alanlarında gerilemeler olmuşsa da eldeki güvence ve olanaklar yine de azımsanmayacak düzeydedir. Nihayet </w:t>
      </w:r>
      <w:r w:rsidRPr="00DE5FD8">
        <w:rPr>
          <w:i/>
        </w:rPr>
        <w:t>tarihsel birikim ve yönelimde</w:t>
      </w:r>
      <w:r w:rsidRPr="00957AA9">
        <w:t xml:space="preserve"> olumlu yönler vardır. Ülke 1839’dan beri </w:t>
      </w:r>
      <w:r w:rsidRPr="00DE5FD8">
        <w:rPr>
          <w:i/>
        </w:rPr>
        <w:t>“insan hakları”</w:t>
      </w:r>
      <w:r w:rsidRPr="00957AA9">
        <w:t xml:space="preserve">, 1876’da beri </w:t>
      </w:r>
      <w:r w:rsidRPr="00DE5FD8">
        <w:rPr>
          <w:i/>
        </w:rPr>
        <w:t>“anayasal yönetim”</w:t>
      </w:r>
      <w:r w:rsidRPr="00957AA9">
        <w:t xml:space="preserve">, </w:t>
      </w:r>
      <w:r>
        <w:t>…</w:t>
      </w:r>
      <w:r w:rsidRPr="00957AA9">
        <w:t xml:space="preserve">1945’ten bu yana </w:t>
      </w:r>
      <w:r w:rsidRPr="00DE5FD8">
        <w:rPr>
          <w:i/>
        </w:rPr>
        <w:t>“çoğulculuk”</w:t>
      </w:r>
      <w:r w:rsidRPr="00957AA9">
        <w:t xml:space="preserve"> mecrasında önemli mesafeler almıştır.”</w:t>
      </w:r>
      <w:r>
        <w:rPr>
          <w:rStyle w:val="Funotenzeichen"/>
        </w:rPr>
        <w:footnoteReference w:id="22"/>
      </w:r>
    </w:p>
    <w:p w:rsidR="00FD7A89" w:rsidRDefault="00CF152E" w:rsidP="00933C1B">
      <w:pPr>
        <w:spacing w:after="120" w:line="360" w:lineRule="auto"/>
      </w:pPr>
      <w:r>
        <w:t xml:space="preserve">Tanör’ün tespitleri arasında iki vurgu göze çarpar. </w:t>
      </w:r>
      <w:r w:rsidR="000E24E8">
        <w:t>İlki; insan hakları</w:t>
      </w:r>
      <w:r w:rsidR="003022D9">
        <w:t xml:space="preserve"> ve</w:t>
      </w:r>
      <w:r w:rsidR="000E24E8">
        <w:t xml:space="preserve"> çoğulculuğa yönelen</w:t>
      </w:r>
      <w:r>
        <w:t xml:space="preserve"> </w:t>
      </w:r>
      <w:r w:rsidRPr="006C32C2">
        <w:rPr>
          <w:i/>
        </w:rPr>
        <w:t>tarihsel birikim</w:t>
      </w:r>
      <w:r>
        <w:t xml:space="preserve">, </w:t>
      </w:r>
      <w:r w:rsidR="00387579">
        <w:t>ikincisi</w:t>
      </w:r>
      <w:r>
        <w:t xml:space="preserve"> ise bu birikim üzerine inşa edilmiş, bütün aksaklık ve keyfilik </w:t>
      </w:r>
      <w:r>
        <w:lastRenderedPageBreak/>
        <w:t xml:space="preserve">eğilimlerine karşın, </w:t>
      </w:r>
      <w:r w:rsidRPr="006C32C2">
        <w:rPr>
          <w:i/>
        </w:rPr>
        <w:t xml:space="preserve">kurum ve kurallarıyla anayasal </w:t>
      </w:r>
      <w:r w:rsidR="00830F0D" w:rsidRPr="006C32C2">
        <w:rPr>
          <w:i/>
        </w:rPr>
        <w:t xml:space="preserve">bir </w:t>
      </w:r>
      <w:r w:rsidR="00C7456E">
        <w:rPr>
          <w:i/>
        </w:rPr>
        <w:t>yönetim anlayışının</w:t>
      </w:r>
      <w:r w:rsidRPr="006C32C2">
        <w:rPr>
          <w:i/>
        </w:rPr>
        <w:t xml:space="preserve"> varlığı</w:t>
      </w:r>
      <w:r>
        <w:t>.</w:t>
      </w:r>
      <w:r w:rsidR="003022D9">
        <w:t xml:space="preserve"> Tanör’ün işaret ettiği insan hakları ve çoğulculuğa yönelik tarihsel birikimi yaratan</w:t>
      </w:r>
      <w:r w:rsidR="00830F0D">
        <w:t>,</w:t>
      </w:r>
      <w:r w:rsidR="003022D9">
        <w:t xml:space="preserve"> toplumsal ve siyasi mücadeleler olmuş ve bu mücadele hattı Türkiye’</w:t>
      </w:r>
      <w:r w:rsidR="00F51D28">
        <w:t>nin hukuk düzeninin</w:t>
      </w:r>
      <w:r w:rsidR="00BC2FB2">
        <w:t xml:space="preserve"> dönüşümüne </w:t>
      </w:r>
      <w:r w:rsidR="00AA4EB4">
        <w:t>belirli düzeyde</w:t>
      </w:r>
      <w:r w:rsidR="00BC2FB2">
        <w:t xml:space="preserve"> yön vermiştir</w:t>
      </w:r>
      <w:r w:rsidR="00F51D28">
        <w:t xml:space="preserve">. </w:t>
      </w:r>
      <w:r w:rsidR="003022D9">
        <w:t>Bu etkiyi</w:t>
      </w:r>
      <w:r>
        <w:t xml:space="preserve"> Tanör’ün </w:t>
      </w:r>
      <w:r w:rsidR="00BA42F3">
        <w:t>söz konusu</w:t>
      </w:r>
      <w:r>
        <w:t xml:space="preserve"> satırları kaleme almasının ardından 1995 yılında</w:t>
      </w:r>
      <w:r w:rsidR="00F51D28">
        <w:t>n it</w:t>
      </w:r>
      <w:r w:rsidR="00301941">
        <w:t xml:space="preserve">ibaren gerçekleştirilen </w:t>
      </w:r>
      <w:r>
        <w:t>anayasa değişikli</w:t>
      </w:r>
      <w:r w:rsidR="00FF1D46">
        <w:t>klerinde</w:t>
      </w:r>
      <w:r w:rsidR="003022D9">
        <w:t xml:space="preserve"> de gözlemlemek olanaklıdır. </w:t>
      </w:r>
      <w:r w:rsidR="007D4534">
        <w:t>Örneğin b</w:t>
      </w:r>
      <w:r w:rsidR="003022D9">
        <w:t>u değişikliklerle</w:t>
      </w:r>
      <w:r w:rsidR="00F51D28">
        <w:t xml:space="preserve"> anayasanın temel haklar reji</w:t>
      </w:r>
      <w:r w:rsidR="00D57DB3">
        <w:t>mi özgürlükçü bir yöne evrilmiş,</w:t>
      </w:r>
      <w:r w:rsidR="00301941">
        <w:t xml:space="preserve"> </w:t>
      </w:r>
      <w:r w:rsidR="00F51D28">
        <w:t>İnsan Hakları Avrupa Sözleşmesi’nin iç hukuk</w:t>
      </w:r>
      <w:r w:rsidR="00387579">
        <w:t>ta</w:t>
      </w:r>
      <w:r w:rsidR="00F51D28">
        <w:t xml:space="preserve"> doğrudan uygulanabilir olması sağlanmış</w:t>
      </w:r>
      <w:r w:rsidR="00D57DB3">
        <w:t xml:space="preserve"> ve </w:t>
      </w:r>
      <w:r w:rsidR="00FF1D46">
        <w:t>siyasi</w:t>
      </w:r>
      <w:r w:rsidR="00D57DB3">
        <w:t xml:space="preserve"> katılımın önündeki engellerin önemli bir bölümü kaldırılmış</w:t>
      </w:r>
      <w:r w:rsidR="00FF1D46">
        <w:t>tır</w:t>
      </w:r>
      <w:r w:rsidR="00F51D28">
        <w:t>.</w:t>
      </w:r>
      <w:r w:rsidR="00933C1B">
        <w:rPr>
          <w:rStyle w:val="Funotenzeichen"/>
        </w:rPr>
        <w:footnoteReference w:id="23"/>
      </w:r>
      <w:r w:rsidR="00F51D28">
        <w:t xml:space="preserve"> </w:t>
      </w:r>
    </w:p>
    <w:p w:rsidR="00877994" w:rsidRDefault="005B0574" w:rsidP="00880C85">
      <w:pPr>
        <w:spacing w:after="120" w:line="360" w:lineRule="auto"/>
      </w:pPr>
      <w:r>
        <w:t xml:space="preserve">Diğer yandan </w:t>
      </w:r>
      <w:r w:rsidR="009533E6">
        <w:t>Tanör’ün işaret ettiği</w:t>
      </w:r>
      <w:r w:rsidR="003A6F94">
        <w:t xml:space="preserve"> üzere</w:t>
      </w:r>
      <w:r w:rsidR="00BA42F3">
        <w:t>,</w:t>
      </w:r>
      <w:r>
        <w:t xml:space="preserve"> bu </w:t>
      </w:r>
      <w:r w:rsidR="009533E6">
        <w:t>tarihsel birikim üzeri</w:t>
      </w:r>
      <w:r w:rsidR="00BA42F3">
        <w:t>n</w:t>
      </w:r>
      <w:r w:rsidR="00877994">
        <w:t>d</w:t>
      </w:r>
      <w:r w:rsidR="00BA42F3">
        <w:t xml:space="preserve">e şekillenen kurumların işleyişindeki </w:t>
      </w:r>
      <w:r w:rsidR="003A6F94">
        <w:t>ve kurallar</w:t>
      </w:r>
      <w:r w:rsidR="00BA42F3">
        <w:t xml:space="preserve">ın uygulanışındaki </w:t>
      </w:r>
      <w:r w:rsidR="003A6F94">
        <w:t>aksaklık ve keyfili</w:t>
      </w:r>
      <w:r w:rsidR="00BA42F3">
        <w:t>klerin</w:t>
      </w:r>
      <w:r w:rsidR="003A6F94">
        <w:t xml:space="preserve"> varlığı da </w:t>
      </w:r>
      <w:r w:rsidR="0057644D">
        <w:t>inkâr</w:t>
      </w:r>
      <w:r w:rsidR="003A6F94">
        <w:t xml:space="preserve"> edilemez. </w:t>
      </w:r>
      <w:r>
        <w:t>İkinci olarak,</w:t>
      </w:r>
      <w:r w:rsidR="009533E6">
        <w:t xml:space="preserve"> cumhuriyetin kurucu kadrolarına önderlik eden Mustafa Kemal Atatürk</w:t>
      </w:r>
      <w:r w:rsidR="00880C85">
        <w:t>’ün ardından siyasi alanı biçimlendirme noktasında önemli bir kudret elde eden</w:t>
      </w:r>
      <w:r w:rsidR="00877994">
        <w:t xml:space="preserve"> Menderes,</w:t>
      </w:r>
      <w:r w:rsidR="009533E6">
        <w:t xml:space="preserve"> Demirel, Ecevit ve Özal gibi tarihi şahsiyetler, </w:t>
      </w:r>
      <w:r>
        <w:t xml:space="preserve">süreç içerisinde </w:t>
      </w:r>
      <w:r w:rsidR="00880C85">
        <w:t>halkın önemli bir kesiminin gözünde</w:t>
      </w:r>
      <w:r>
        <w:t xml:space="preserve"> önemli bir</w:t>
      </w:r>
      <w:r w:rsidR="00880C85">
        <w:t xml:space="preserve"> prestij</w:t>
      </w:r>
      <w:r w:rsidR="0057644D">
        <w:t>e sahip olmuş</w:t>
      </w:r>
      <w:r w:rsidR="00880C85">
        <w:t xml:space="preserve"> ve </w:t>
      </w:r>
      <w:r w:rsidR="00877994">
        <w:t xml:space="preserve">hatta </w:t>
      </w:r>
      <w:r w:rsidR="00880C85">
        <w:t xml:space="preserve">pek çok </w:t>
      </w:r>
      <w:r w:rsidR="0057644D">
        <w:t>destekçisi tarafından</w:t>
      </w:r>
      <w:r w:rsidR="00880C85">
        <w:t xml:space="preserve"> ilahlaştırılmıştır. </w:t>
      </w:r>
      <w:r w:rsidR="002A3268">
        <w:t xml:space="preserve">Fakat bu </w:t>
      </w:r>
      <w:r>
        <w:t>iki olgu</w:t>
      </w:r>
      <w:r w:rsidR="002A3268">
        <w:t xml:space="preserve">, </w:t>
      </w:r>
      <w:r w:rsidR="003A6F94">
        <w:t>söz konusu liderlerin</w:t>
      </w:r>
      <w:r w:rsidR="002A3268">
        <w:t xml:space="preserve"> </w:t>
      </w:r>
      <w:r w:rsidR="008F16C3">
        <w:t>We</w:t>
      </w:r>
      <w:r w:rsidR="00BA42F3">
        <w:t>beryan anlamda</w:t>
      </w:r>
      <w:r w:rsidR="00877994">
        <w:t xml:space="preserve"> karizmatik bir otorite olarak nitelendirilmeleri için yeterli değildir. Weber araştırmacısı </w:t>
      </w:r>
      <w:r w:rsidR="006F5E21" w:rsidRPr="006F5E21">
        <w:t>M. Rainer Lepsius</w:t>
      </w:r>
      <w:r w:rsidR="00880C85">
        <w:t>’un</w:t>
      </w:r>
      <w:r w:rsidR="00877994">
        <w:t xml:space="preserve"> karizmatik otoritenin niteliğine dair</w:t>
      </w:r>
      <w:r w:rsidR="00880C85">
        <w:t xml:space="preserve"> saptama</w:t>
      </w:r>
      <w:r w:rsidR="00877994">
        <w:t>ları, bu açıdan önem taşır</w:t>
      </w:r>
      <w:r w:rsidR="00880C85">
        <w:t>.</w:t>
      </w:r>
      <w:r w:rsidR="008F16C3">
        <w:t xml:space="preserve"> </w:t>
      </w:r>
    </w:p>
    <w:p w:rsidR="00880C85" w:rsidRDefault="00877994" w:rsidP="00880C85">
      <w:pPr>
        <w:spacing w:after="120" w:line="360" w:lineRule="auto"/>
      </w:pPr>
      <w:r>
        <w:t>L</w:t>
      </w:r>
      <w:r w:rsidR="006F5E21">
        <w:t>e</w:t>
      </w:r>
      <w:r>
        <w:t>psius, o</w:t>
      </w:r>
      <w:r w:rsidR="008F16C3">
        <w:t>torite ilişkisi</w:t>
      </w:r>
      <w:r>
        <w:t>nin</w:t>
      </w:r>
      <w:r w:rsidR="008F16C3">
        <w:t xml:space="preserve"> k</w:t>
      </w:r>
      <w:r w:rsidR="00880C85">
        <w:t>urumsallaşmış düzenleme ve yapıları ortadan kaldırabildiği oranda, karizmatikleş</w:t>
      </w:r>
      <w:r>
        <w:t>eceğinin altını çizer</w:t>
      </w:r>
      <w:r w:rsidR="00880C85">
        <w:t xml:space="preserve">. Dolayısıyla </w:t>
      </w:r>
      <w:r w:rsidR="00F212BF">
        <w:t>karizma</w:t>
      </w:r>
      <w:r w:rsidR="00880C85">
        <w:t xml:space="preserve">, </w:t>
      </w:r>
      <w:r w:rsidR="00F212BF">
        <w:t>bir siyasi figüre</w:t>
      </w:r>
      <w:r w:rsidR="00880C85">
        <w:t xml:space="preserve"> yönelen </w:t>
      </w:r>
      <w:r w:rsidR="00F212BF">
        <w:t xml:space="preserve">güven ve bundan kaynaklanın </w:t>
      </w:r>
      <w:r w:rsidR="0057644D">
        <w:t>beklentileri</w:t>
      </w:r>
      <w:r w:rsidR="00F212BF">
        <w:t xml:space="preserve"> aşan bir anlama sahiptir</w:t>
      </w:r>
      <w:r w:rsidR="00880C85">
        <w:t xml:space="preserve"> </w:t>
      </w:r>
      <w:r w:rsidR="00F212BF">
        <w:t xml:space="preserve">ve </w:t>
      </w:r>
      <w:r w:rsidR="00880C85">
        <w:t>üstün yeteneklere sahip</w:t>
      </w:r>
      <w:r w:rsidR="00F212BF">
        <w:t xml:space="preserve"> olmak da </w:t>
      </w:r>
      <w:r w:rsidR="0057644D">
        <w:t xml:space="preserve">karizmatik otoritenin inşası açısından </w:t>
      </w:r>
      <w:r w:rsidR="00F212BF">
        <w:t>yeterli olmaz.</w:t>
      </w:r>
      <w:r w:rsidR="00880C85">
        <w:t xml:space="preserve"> Eğer </w:t>
      </w:r>
      <w:r w:rsidR="00F212BF">
        <w:t xml:space="preserve">bir </w:t>
      </w:r>
      <w:r w:rsidR="00880C85">
        <w:t>lider toplumsal ve siyasi yapıyı değiştiremiyorsa, liderlik konumuna dair hâlihazırda var olan rol modellerine uygun hareket ediyorsa ve eylemlerinin, bağımsız kurumlar ya da kamuoyu tarafından denetlenmesini</w:t>
      </w:r>
      <w:r w:rsidR="008F16C3">
        <w:t xml:space="preserve"> kabul etmek zorunda kalıyorsa</w:t>
      </w:r>
      <w:r w:rsidR="0057644D">
        <w:t>, sahip olduğu prestij</w:t>
      </w:r>
      <w:r w:rsidR="00880C85">
        <w:t xml:space="preserve"> ya da takipçilerinin onu </w:t>
      </w:r>
      <w:r w:rsidR="00F212BF">
        <w:t>ilahlaştırma</w:t>
      </w:r>
      <w:r w:rsidR="00880C85">
        <w:t xml:space="preserve"> düzey</w:t>
      </w:r>
      <w:r w:rsidR="00F212BF">
        <w:t>i ne olursa</w:t>
      </w:r>
      <w:r w:rsidR="00880C85">
        <w:t xml:space="preserve"> olsun, karizmatik </w:t>
      </w:r>
      <w:r w:rsidR="00F212BF">
        <w:t>otoriteden söz edilemez</w:t>
      </w:r>
      <w:r w:rsidR="00880C85">
        <w:t>.</w:t>
      </w:r>
      <w:r w:rsidR="00880C85">
        <w:rPr>
          <w:rStyle w:val="Funotenzeichen"/>
        </w:rPr>
        <w:footnoteReference w:id="24"/>
      </w:r>
    </w:p>
    <w:p w:rsidR="007E53F9" w:rsidRDefault="00FD7A89" w:rsidP="00C7456E">
      <w:pPr>
        <w:spacing w:after="120" w:line="360" w:lineRule="auto"/>
      </w:pPr>
      <w:r>
        <w:t xml:space="preserve">Karizmatik otoritenin </w:t>
      </w:r>
      <w:r w:rsidR="00BA42F3">
        <w:t>varlığı açısından</w:t>
      </w:r>
      <w:r>
        <w:t>,</w:t>
      </w:r>
      <w:r w:rsidR="00BA42F3">
        <w:t xml:space="preserve"> bir</w:t>
      </w:r>
      <w:r>
        <w:t xml:space="preserve"> </w:t>
      </w:r>
      <w:r w:rsidR="00BA42F3">
        <w:t>liderin kurucu nitelikte</w:t>
      </w:r>
      <w:r>
        <w:t xml:space="preserve"> yeni bir iddia ile ortaya çıkması, bu iddia doğrultusunda kurumsal ve </w:t>
      </w:r>
      <w:r w:rsidR="00A4484D">
        <w:t>normatif</w:t>
      </w:r>
      <w:r>
        <w:t xml:space="preserve"> sınır</w:t>
      </w:r>
      <w:r w:rsidR="0057644D">
        <w:t>lar</w:t>
      </w:r>
      <w:r>
        <w:t xml:space="preserve">ı aşabilmesi, dolayısıyla şahsiliğin </w:t>
      </w:r>
      <w:r w:rsidR="00284D42">
        <w:t xml:space="preserve">siyasi rejimin ağırlıklı öğesi haline gelmesi gerekir. </w:t>
      </w:r>
      <w:r w:rsidR="001958F9">
        <w:t>Bu perspektifle değerlendirildiğinde, b</w:t>
      </w:r>
      <w:r w:rsidR="00AA4EB4">
        <w:t>ugün</w:t>
      </w:r>
      <w:r w:rsidR="001958F9">
        <w:t>ün</w:t>
      </w:r>
      <w:r w:rsidR="00AA4EB4">
        <w:t xml:space="preserve"> </w:t>
      </w:r>
      <w:r w:rsidR="001640E6">
        <w:t>Türkiye</w:t>
      </w:r>
      <w:r w:rsidR="00216377">
        <w:t>si</w:t>
      </w:r>
      <w:r w:rsidR="00BA42F3">
        <w:t>’</w:t>
      </w:r>
      <w:r w:rsidR="00216377">
        <w:t>nde</w:t>
      </w:r>
      <w:r w:rsidR="00AA4EB4">
        <w:t>, anayasal yönetimin kurum</w:t>
      </w:r>
      <w:r w:rsidR="00191387">
        <w:t>ların işleyişindeki aksaklıkların</w:t>
      </w:r>
      <w:r w:rsidR="00AA4EB4">
        <w:t xml:space="preserve"> ve kuralları</w:t>
      </w:r>
      <w:r w:rsidR="00191387">
        <w:t>n uygulanmasındaki</w:t>
      </w:r>
      <w:r w:rsidR="00AA4EB4">
        <w:t xml:space="preserve"> keyfili</w:t>
      </w:r>
      <w:r w:rsidR="00191387">
        <w:t>ğin artışından</w:t>
      </w:r>
      <w:r w:rsidR="00AA4EB4">
        <w:t xml:space="preserve"> </w:t>
      </w:r>
      <w:r w:rsidR="00043726">
        <w:t xml:space="preserve">ziyade, kurum ve </w:t>
      </w:r>
      <w:r w:rsidR="00043726">
        <w:lastRenderedPageBreak/>
        <w:t>kurallarıyla anayasal yönetim</w:t>
      </w:r>
      <w:r w:rsidR="00C7456E">
        <w:t xml:space="preserve"> anlayışının</w:t>
      </w:r>
      <w:r w:rsidR="00AA4EB4">
        <w:t xml:space="preserve"> ortadan kalkışına eşlik eden bir şekilde siyasi iktidarın </w:t>
      </w:r>
      <w:r w:rsidR="00923530">
        <w:t>şahsileşmesi</w:t>
      </w:r>
      <w:r w:rsidR="001958F9">
        <w:t>nin yarattığı niteliksel bir dönüşüm</w:t>
      </w:r>
      <w:r w:rsidR="002744A0">
        <w:t xml:space="preserve"> göze çarpar</w:t>
      </w:r>
      <w:r w:rsidR="00AA4EB4">
        <w:t>.</w:t>
      </w:r>
      <w:r w:rsidR="00284D42">
        <w:t xml:space="preserve"> 2010 yılında gerçekleşen anayasa referandumun</w:t>
      </w:r>
      <w:r w:rsidR="0057644D">
        <w:t xml:space="preserve">un ardından, </w:t>
      </w:r>
      <w:r w:rsidR="00C7456E">
        <w:t>özellikle</w:t>
      </w:r>
      <w:r w:rsidR="0057644D">
        <w:t xml:space="preserve"> yargı</w:t>
      </w:r>
      <w:r w:rsidR="00C7456E">
        <w:t xml:space="preserve"> kuvveti</w:t>
      </w:r>
      <w:r w:rsidR="00284D42">
        <w:t xml:space="preserve"> olmak üzere, kurumsal</w:t>
      </w:r>
      <w:r w:rsidR="0057644D">
        <w:t xml:space="preserve"> kısıtların</w:t>
      </w:r>
      <w:r w:rsidR="00284D42">
        <w:t xml:space="preserve"> aşınma</w:t>
      </w:r>
      <w:r w:rsidR="0057644D">
        <w:t>sı</w:t>
      </w:r>
      <w:r w:rsidR="00C7456E">
        <w:t>yla başlayan süreç,</w:t>
      </w:r>
      <w:r w:rsidR="00284D42">
        <w:t xml:space="preserve"> </w:t>
      </w:r>
      <w:r w:rsidR="00191387">
        <w:t>Türkiye’de kamu hukuku doktrininde “anayasasızlaştırma”</w:t>
      </w:r>
      <w:r w:rsidR="00191387">
        <w:rPr>
          <w:rStyle w:val="Funotenzeichen"/>
        </w:rPr>
        <w:footnoteReference w:id="25"/>
      </w:r>
      <w:r w:rsidR="00191387">
        <w:t xml:space="preserve"> </w:t>
      </w:r>
      <w:r w:rsidR="00284D42">
        <w:t xml:space="preserve">olarak </w:t>
      </w:r>
      <w:r w:rsidR="0057644D">
        <w:t>kavramsallaştırılan</w:t>
      </w:r>
      <w:r w:rsidR="00284D42">
        <w:t xml:space="preserve">, </w:t>
      </w:r>
      <w:r w:rsidR="00C7456E">
        <w:t xml:space="preserve">bir bütün olarak </w:t>
      </w:r>
      <w:r w:rsidR="00284D42">
        <w:t>hukuk düzeninin cumhurbaşkanı açısından</w:t>
      </w:r>
      <w:r w:rsidR="00A4484D">
        <w:t xml:space="preserve"> sınırlandırıcı işlevini</w:t>
      </w:r>
      <w:r w:rsidR="00284D42">
        <w:t xml:space="preserve"> </w:t>
      </w:r>
      <w:r w:rsidR="00A4484D">
        <w:t>yitirmesi yönünde bir eğilim göstermektedir</w:t>
      </w:r>
      <w:r w:rsidR="00C7456E">
        <w:t>.</w:t>
      </w:r>
      <w:r w:rsidR="00043726">
        <w:t xml:space="preserve"> </w:t>
      </w:r>
    </w:p>
    <w:p w:rsidR="00FD09EC" w:rsidRDefault="001B1F63" w:rsidP="00933C1B">
      <w:pPr>
        <w:spacing w:after="120" w:line="360" w:lineRule="auto"/>
      </w:pPr>
      <w:r>
        <w:t>Uzun bir tarihsel birikime dayanan kurumsal ve normatif düzenin aşınmasının en önemli sonuçlarından biri, süreç iç</w:t>
      </w:r>
      <w:r w:rsidR="005F432C">
        <w:t>erisinde</w:t>
      </w:r>
      <w:r>
        <w:t xml:space="preserve"> siyasi iktidarın etkinliği ve istikrarı açısından yaratacağı olumsuz etkidir. Weber, yasal otoriteyi</w:t>
      </w:r>
      <w:r w:rsidR="005F432C">
        <w:t xml:space="preserve"> değer yargılarından bağımsız bir biçimde</w:t>
      </w:r>
      <w:r>
        <w:t xml:space="preserve"> tam da bu açıdan,</w:t>
      </w:r>
      <w:r w:rsidR="005F432C">
        <w:t xml:space="preserve"> bir</w:t>
      </w:r>
      <w:r>
        <w:t xml:space="preserve"> hükmetme tekniği olarak en üstün </w:t>
      </w:r>
      <w:r w:rsidR="005F432C">
        <w:t xml:space="preserve">otorite </w:t>
      </w:r>
      <w:r>
        <w:t>tür</w:t>
      </w:r>
      <w:r w:rsidR="005F432C">
        <w:t>ü</w:t>
      </w:r>
      <w:r>
        <w:t xml:space="preserve"> olarak nitelendirir. </w:t>
      </w:r>
      <w:r w:rsidR="00813F1D">
        <w:t>Weber</w:t>
      </w:r>
      <w:r>
        <w:t>’in</w:t>
      </w:r>
      <w:r w:rsidR="00813F1D">
        <w:t xml:space="preserve"> bu</w:t>
      </w:r>
      <w:r>
        <w:t xml:space="preserve"> olgusal</w:t>
      </w:r>
      <w:r w:rsidR="00813F1D">
        <w:t xml:space="preserve"> saptamasına, değer yargılarına dayalı bazı eklemeler yapılabilir</w:t>
      </w:r>
      <w:r w:rsidR="00284D42">
        <w:t xml:space="preserve">. </w:t>
      </w:r>
      <w:r w:rsidR="00E256DA">
        <w:t>Kuşkusuz</w:t>
      </w:r>
      <w:r w:rsidR="00063C77">
        <w:t xml:space="preserve"> </w:t>
      </w:r>
      <w:r w:rsidR="00E256DA">
        <w:t xml:space="preserve">kurum ve kurallar, </w:t>
      </w:r>
      <w:r w:rsidR="001958F9">
        <w:t>“</w:t>
      </w:r>
      <w:r w:rsidR="00E256DA">
        <w:t>kendinde iyi</w:t>
      </w:r>
      <w:r w:rsidR="001958F9">
        <w:t>”</w:t>
      </w:r>
      <w:r w:rsidR="00E256DA">
        <w:t xml:space="preserve"> şeyl</w:t>
      </w:r>
      <w:r w:rsidR="0004568A">
        <w:t>er değildir. Diğer bir deyişle</w:t>
      </w:r>
      <w:r w:rsidR="00191387">
        <w:t>,</w:t>
      </w:r>
      <w:r w:rsidR="00385B3E">
        <w:t xml:space="preserve"> kurum</w:t>
      </w:r>
      <w:r w:rsidR="00552251">
        <w:t xml:space="preserve"> ve kurallar</w:t>
      </w:r>
      <w:r w:rsidR="00813F1D">
        <w:t>,</w:t>
      </w:r>
      <w:r w:rsidR="00385B3E">
        <w:t xml:space="preserve"> </w:t>
      </w:r>
      <w:r w:rsidR="00301941">
        <w:t>tahakkümün kaynağı ve fa</w:t>
      </w:r>
      <w:r w:rsidR="001640E6">
        <w:t>i</w:t>
      </w:r>
      <w:r w:rsidR="00301941">
        <w:t>li olabilir</w:t>
      </w:r>
      <w:r w:rsidR="00385B3E">
        <w:t xml:space="preserve"> ve</w:t>
      </w:r>
      <w:r w:rsidR="00043726">
        <w:t xml:space="preserve"> verili iktisadi ve siyasi düzende</w:t>
      </w:r>
      <w:r w:rsidR="00385B3E">
        <w:t xml:space="preserve"> çoğu zaman </w:t>
      </w:r>
      <w:r w:rsidR="00063C77">
        <w:t>da böyle olmuştur</w:t>
      </w:r>
      <w:r w:rsidR="00385B3E">
        <w:t>.</w:t>
      </w:r>
      <w:r w:rsidR="0004568A">
        <w:t xml:space="preserve"> Ama öte yandan kurum ve kura</w:t>
      </w:r>
      <w:r w:rsidR="00E256DA">
        <w:t xml:space="preserve">llar, tam da Tanör’ün işaret ettiği </w:t>
      </w:r>
      <w:r w:rsidR="00ED016E">
        <w:t>toplumsal ve siyasi</w:t>
      </w:r>
      <w:r w:rsidR="00E0157F">
        <w:t xml:space="preserve"> mücadeleler</w:t>
      </w:r>
      <w:r w:rsidR="00043726">
        <w:t>in yarattığı</w:t>
      </w:r>
      <w:r w:rsidR="00E0157F">
        <w:t xml:space="preserve"> tarihsel birikimin </w:t>
      </w:r>
      <w:r w:rsidR="00043726">
        <w:t>şekillendirdiği</w:t>
      </w:r>
      <w:r w:rsidR="00E0157F">
        <w:t xml:space="preserve"> </w:t>
      </w:r>
      <w:r w:rsidR="0004568A">
        <w:t>alanlardır</w:t>
      </w:r>
      <w:r w:rsidR="00E0157F">
        <w:t>.</w:t>
      </w:r>
      <w:r w:rsidR="0004568A">
        <w:t xml:space="preserve"> </w:t>
      </w:r>
      <w:r w:rsidR="00E83B7D">
        <w:t>Bu anlamda kurum ve kuralların ortadan kalkışı</w:t>
      </w:r>
      <w:r w:rsidR="00385B3E">
        <w:t>na,</w:t>
      </w:r>
      <w:r w:rsidR="00E83B7D">
        <w:t xml:space="preserve"> merkezileşen ve şahsileşen </w:t>
      </w:r>
      <w:r w:rsidR="00385B3E">
        <w:t xml:space="preserve">siyasi </w:t>
      </w:r>
      <w:r w:rsidR="00191387">
        <w:t>otoritenin</w:t>
      </w:r>
      <w:r w:rsidR="00385B3E">
        <w:t xml:space="preserve"> anlık kararları</w:t>
      </w:r>
      <w:r w:rsidR="00191387">
        <w:t>nın siyasi ve hukuki alanı</w:t>
      </w:r>
      <w:r w:rsidR="00E83B7D">
        <w:t xml:space="preserve"> </w:t>
      </w:r>
      <w:r w:rsidR="00191387">
        <w:t>düzensizleştir</w:t>
      </w:r>
      <w:r w:rsidR="00E525A9">
        <w:t>mesinin eşlik etmesi</w:t>
      </w:r>
      <w:r w:rsidR="00E83B7D">
        <w:t>,</w:t>
      </w:r>
      <w:r w:rsidR="00284D42">
        <w:t xml:space="preserve"> </w:t>
      </w:r>
      <w:r w:rsidR="00E83B7D">
        <w:t>keyfiliğin ve</w:t>
      </w:r>
      <w:r w:rsidR="00284D42">
        <w:t xml:space="preserve"> belirli sınıf ya da gruplar lehine</w:t>
      </w:r>
      <w:r w:rsidR="00E83B7D">
        <w:t xml:space="preserve"> tahakkümün kural haline gelmesine yol açar.</w:t>
      </w:r>
      <w:r w:rsidR="001958F9">
        <w:t xml:space="preserve"> </w:t>
      </w:r>
    </w:p>
    <w:p w:rsidR="00552251" w:rsidRDefault="00DD327C" w:rsidP="00933C1B">
      <w:pPr>
        <w:spacing w:after="120" w:line="360" w:lineRule="auto"/>
      </w:pPr>
      <w:r>
        <w:t xml:space="preserve">Bu </w:t>
      </w:r>
      <w:r w:rsidR="007E53F9">
        <w:t>hususu biraz daha</w:t>
      </w:r>
      <w:r w:rsidR="00E83B7D">
        <w:t xml:space="preserve"> açmak için</w:t>
      </w:r>
      <w:r>
        <w:t xml:space="preserve"> Tanör’le aynı kuşaktan bir başka</w:t>
      </w:r>
      <w:r w:rsidR="00E83B7D">
        <w:t xml:space="preserve"> </w:t>
      </w:r>
      <w:r>
        <w:t>anayasa hukuku profesörü olan Cem Eroğul</w:t>
      </w:r>
      <w:r w:rsidR="00E83B7D">
        <w:t xml:space="preserve">’un 2015 yılında </w:t>
      </w:r>
      <w:r w:rsidR="00902A08">
        <w:t>dile getirdiği</w:t>
      </w:r>
      <w:r w:rsidR="00E83B7D">
        <w:t xml:space="preserve"> </w:t>
      </w:r>
      <w:r w:rsidR="00902A08">
        <w:t>tespitler</w:t>
      </w:r>
      <w:r w:rsidR="00E83B7D">
        <w:t xml:space="preserve"> yol gösterici olabilir</w:t>
      </w:r>
      <w:r>
        <w:t xml:space="preserve">: </w:t>
      </w:r>
    </w:p>
    <w:p w:rsidR="00DD327C" w:rsidRDefault="00DD327C" w:rsidP="00933C1B">
      <w:pPr>
        <w:spacing w:after="120" w:line="360" w:lineRule="auto"/>
      </w:pPr>
      <w:r>
        <w:t>“</w:t>
      </w:r>
      <w:r w:rsidRPr="00DD327C">
        <w:t xml:space="preserve">Demokrasiyle birlikte devlet de eritiliyor. Tabii ki bütün sınıflı devletlerde devlet egemen sınıfın aracıdır, ama sadece öyle değildir. Başka yönleri de vardır. Mesela devlet, ezilenlerin bir noktanın ötesinde ezilmesini engellemekle de yükümlüdür. Çünkü yarını ve kendini düşünmek zorundadır; yani meşruiyet yaratmak zorundadır. Bütün bunlar son birkaç yıldır kaybolmakta. Türkiye’de yönetici katmanlar, iktidardan ayrı bir güç olan devlet olgusunu gitgide ortadan kaldırmakta ya da eritmekte. Cumhuriyet devletinin en temel kurumları, kanun filan da çıkarılmadan, bir gecede yok edildi. Mesela kanun hükmünde kararnameyle Maliye Bakanlığı Teftiş Kurulu kaldırıldı. Akıl almaz bir şey! Teftiş Kurulu, tüm bürokrasinin </w:t>
      </w:r>
      <w:r w:rsidRPr="00DD327C">
        <w:lastRenderedPageBreak/>
        <w:t>belkemiğiydi. Kaldırılıverdi! Devlet bürokrasisinin hiçbir sürekliliği kalmadı. En önemli darbe de yargıya vuruldu. Yargı,  iktidardan bağımsız olma niteliğini tamamen yitirdi. İktidardan ayrı, gerektiğinde iktidarı da frenleyebilecek bir devlet gücü kalmadı Türkiye’de.</w:t>
      </w:r>
      <w:r>
        <w:t>”</w:t>
      </w:r>
      <w:r w:rsidR="00902A08">
        <w:rPr>
          <w:rStyle w:val="Funotenzeichen"/>
        </w:rPr>
        <w:footnoteReference w:id="26"/>
      </w:r>
    </w:p>
    <w:p w:rsidR="009C7F78" w:rsidRDefault="006D2720" w:rsidP="00A4484D">
      <w:pPr>
        <w:spacing w:after="120" w:line="360" w:lineRule="auto"/>
      </w:pPr>
      <w:r>
        <w:t>Tıpkı Tanör gibi</w:t>
      </w:r>
      <w:r w:rsidR="00A7493D">
        <w:t xml:space="preserve"> eleştirel bir kamu hukukçusu olan</w:t>
      </w:r>
      <w:r>
        <w:t xml:space="preserve"> Eroğul da, d</w:t>
      </w:r>
      <w:r w:rsidR="00DD327C">
        <w:t>evlet</w:t>
      </w:r>
      <w:r>
        <w:t>in</w:t>
      </w:r>
      <w:r w:rsidR="00DD327C">
        <w:t xml:space="preserve"> ve hukukun </w:t>
      </w:r>
      <w:r w:rsidR="00E525A9">
        <w:t>sınıfsal ve -eklemek gerekirse- eril</w:t>
      </w:r>
      <w:r w:rsidR="00DD327C">
        <w:t xml:space="preserve"> niteliği</w:t>
      </w:r>
      <w:r>
        <w:t>nin karşısına,</w:t>
      </w:r>
      <w:r w:rsidR="00DD327C">
        <w:t xml:space="preserve"> </w:t>
      </w:r>
      <w:r w:rsidR="00786E2F">
        <w:t>tahakküm ve sömürünün mağdurlarının talepleriyle dönüş</w:t>
      </w:r>
      <w:r w:rsidR="00A7580F">
        <w:t>mek zorunda kalan</w:t>
      </w:r>
      <w:r w:rsidR="00786E2F">
        <w:t xml:space="preserve"> </w:t>
      </w:r>
      <w:r w:rsidR="002744A0">
        <w:t>ve ayrıca</w:t>
      </w:r>
      <w:r w:rsidR="00786E2F">
        <w:t xml:space="preserve"> onların rızasını </w:t>
      </w:r>
      <w:r w:rsidR="00984600">
        <w:t>üretmek</w:t>
      </w:r>
      <w:r w:rsidR="00786E2F">
        <w:t xml:space="preserve"> için gayri şahsi bir </w:t>
      </w:r>
      <w:r w:rsidR="00A4484D">
        <w:t>yapıda</w:t>
      </w:r>
      <w:r w:rsidR="00786E2F">
        <w:t xml:space="preserve"> örgütlenen kurum ve kurallar</w:t>
      </w:r>
      <w:r>
        <w:t>ın rasyonelleştirici etkisini yerleştirir</w:t>
      </w:r>
      <w:r w:rsidR="00786E2F">
        <w:t xml:space="preserve">. </w:t>
      </w:r>
      <w:r w:rsidR="00250DDB" w:rsidRPr="006D70F9">
        <w:rPr>
          <w:i/>
        </w:rPr>
        <w:t>Kurumlar</w:t>
      </w:r>
      <w:r w:rsidR="00250DDB">
        <w:t>, liyakate dayalı giriş ve yükselme kriterleriyle</w:t>
      </w:r>
      <w:r w:rsidR="0074662B">
        <w:t xml:space="preserve"> ya da</w:t>
      </w:r>
      <w:r w:rsidR="00250DDB">
        <w:t xml:space="preserve"> görev al</w:t>
      </w:r>
      <w:r w:rsidR="00923530">
        <w:t>anlarına dair</w:t>
      </w:r>
      <w:r w:rsidR="00984600">
        <w:t xml:space="preserve"> öngörülmüş belirli bir</w:t>
      </w:r>
      <w:r w:rsidR="00923530">
        <w:t xml:space="preserve"> hukuki çerçeveyle;</w:t>
      </w:r>
      <w:r w:rsidR="00250DDB">
        <w:t xml:space="preserve"> </w:t>
      </w:r>
      <w:r w:rsidR="00250DDB" w:rsidRPr="006D70F9">
        <w:rPr>
          <w:i/>
        </w:rPr>
        <w:t>hukuk kuralları ise</w:t>
      </w:r>
      <w:r w:rsidR="00250DDB">
        <w:t xml:space="preserve"> genel </w:t>
      </w:r>
      <w:r w:rsidR="00A4484D">
        <w:t xml:space="preserve">ve soyut </w:t>
      </w:r>
      <w:r w:rsidR="00250DDB">
        <w:t>nitelikleriyle</w:t>
      </w:r>
      <w:r w:rsidR="00E525A9">
        <w:t xml:space="preserve"> ya da belirli bir metodolojiye dayanan uygulanma şekilleriyle</w:t>
      </w:r>
      <w:r w:rsidR="00250DDB">
        <w:t xml:space="preserve"> keyfiliğin önünde asgari de olsa bir sınır oluşturma potansiyeline sahiptir.</w:t>
      </w:r>
      <w:r w:rsidR="00A4484D">
        <w:t xml:space="preserve"> </w:t>
      </w:r>
      <w:r w:rsidR="00184994">
        <w:t>Tam da b</w:t>
      </w:r>
      <w:r w:rsidR="00A4484D">
        <w:t>u nedenle, Türkiye’de</w:t>
      </w:r>
      <w:r w:rsidR="00A7580F">
        <w:t xml:space="preserve"> tarihsel birikimlerin biçimlendirdiği</w:t>
      </w:r>
      <w:r w:rsidR="00786E2F">
        <w:t xml:space="preserve"> kurum ve kuralların </w:t>
      </w:r>
      <w:r>
        <w:t xml:space="preserve">rasyonelleştirici </w:t>
      </w:r>
      <w:r w:rsidR="00786E2F">
        <w:t>işlevinin</w:t>
      </w:r>
      <w:r w:rsidR="009C7F78">
        <w:t xml:space="preserve"> ya da varlıklarına mündemiç olan yapısal kısıtların</w:t>
      </w:r>
      <w:r w:rsidR="00786E2F">
        <w:t xml:space="preserve"> ortadan </w:t>
      </w:r>
      <w:r>
        <w:t>kalkması</w:t>
      </w:r>
      <w:r w:rsidR="00A4484D">
        <w:t>,</w:t>
      </w:r>
      <w:r>
        <w:t xml:space="preserve"> </w:t>
      </w:r>
      <w:r w:rsidR="005D7572">
        <w:t xml:space="preserve">keyfilik ve </w:t>
      </w:r>
      <w:r w:rsidR="009C7F78">
        <w:t>belirsizlik</w:t>
      </w:r>
      <w:r w:rsidR="00A4484D">
        <w:t xml:space="preserve"> halinin</w:t>
      </w:r>
      <w:r w:rsidR="00786E2F">
        <w:t xml:space="preserve"> yaygınlaşması</w:t>
      </w:r>
      <w:r w:rsidR="00A4484D">
        <w:t xml:space="preserve"> sonucunu doğur</w:t>
      </w:r>
      <w:r w:rsidR="005D7572">
        <w:t>maktadır</w:t>
      </w:r>
      <w:r w:rsidR="00786E2F">
        <w:t xml:space="preserve">. </w:t>
      </w:r>
      <w:r w:rsidR="00250DDB">
        <w:t>Bu</w:t>
      </w:r>
      <w:r w:rsidR="00A7580F">
        <w:t xml:space="preserve"> gelişmenin en bariz olarak gözlemlendiği ve aynı zamanda ni</w:t>
      </w:r>
      <w:r w:rsidR="00984600">
        <w:t>teliği itibariyle en can acıtan yansıması</w:t>
      </w:r>
      <w:r w:rsidR="00A7580F">
        <w:t xml:space="preserve"> d</w:t>
      </w:r>
      <w:r w:rsidR="00984600">
        <w:t>a</w:t>
      </w:r>
      <w:r w:rsidR="00250DDB">
        <w:t>,</w:t>
      </w:r>
      <w:r w:rsidR="00086AE3">
        <w:t xml:space="preserve"> Eroğul’un işaret ettiği üzere,</w:t>
      </w:r>
      <w:r w:rsidR="00250DDB">
        <w:t xml:space="preserve"> kuralları uygulayacak kurum olarak yargının yaşadığı dönüşüm</w:t>
      </w:r>
      <w:r w:rsidR="005D7572">
        <w:t>dür</w:t>
      </w:r>
      <w:r w:rsidR="00250DDB">
        <w:t xml:space="preserve">. </w:t>
      </w:r>
    </w:p>
    <w:p w:rsidR="00216377" w:rsidRPr="00216377" w:rsidRDefault="00216377" w:rsidP="00616959">
      <w:pPr>
        <w:pStyle w:val="berschrift1"/>
        <w:numPr>
          <w:ilvl w:val="0"/>
          <w:numId w:val="1"/>
        </w:numPr>
      </w:pPr>
      <w:r w:rsidRPr="00216377">
        <w:t>Hukuk Düzeninin Dönüşümünde Yargının Rolü</w:t>
      </w:r>
    </w:p>
    <w:p w:rsidR="007E53F9" w:rsidRDefault="00250DDB" w:rsidP="00933C1B">
      <w:pPr>
        <w:spacing w:after="120" w:line="360" w:lineRule="auto"/>
      </w:pPr>
      <w:r>
        <w:t>Yargının bağımsızlığı ve tarafsızlığı</w:t>
      </w:r>
      <w:r w:rsidR="008A490C">
        <w:t>nın,</w:t>
      </w:r>
      <w:r w:rsidR="003A7398">
        <w:t xml:space="preserve"> cumhuriyet tarihinin </w:t>
      </w:r>
      <w:r w:rsidR="008A490C">
        <w:t>en sorunlu konularından biri olduğu bir gerçek</w:t>
      </w:r>
      <w:r w:rsidR="003A7398">
        <w:t xml:space="preserve">. </w:t>
      </w:r>
      <w:r w:rsidR="008C321C">
        <w:t>İstiklal Mahkemeleri ile başlayan</w:t>
      </w:r>
      <w:r w:rsidR="00E525A9">
        <w:t xml:space="preserve"> olağanüstü yargı geleneğinin</w:t>
      </w:r>
      <w:r w:rsidR="0074662B">
        <w:rPr>
          <w:rStyle w:val="Funotenzeichen"/>
        </w:rPr>
        <w:footnoteReference w:id="27"/>
      </w:r>
      <w:r w:rsidR="008C321C">
        <w:t xml:space="preserve"> yanı sıra</w:t>
      </w:r>
      <w:r w:rsidR="00063C77">
        <w:t xml:space="preserve"> en yetkin hukukçuları bünyesinde barındırması beklene</w:t>
      </w:r>
      <w:r w:rsidR="001B1F63">
        <w:t>n</w:t>
      </w:r>
      <w:r w:rsidR="003A7398">
        <w:t xml:space="preserve"> </w:t>
      </w:r>
      <w:r w:rsidR="00E525A9">
        <w:t>Yargıtay Ceza Genel Kurulu’nun Hrant Dink</w:t>
      </w:r>
      <w:r w:rsidR="001D5D71">
        <w:t xml:space="preserve"> gibi sembolik davalarda verdiği kararlar</w:t>
      </w:r>
      <w:r w:rsidR="0074662B">
        <w:rPr>
          <w:rStyle w:val="Funotenzeichen"/>
        </w:rPr>
        <w:footnoteReference w:id="28"/>
      </w:r>
      <w:r w:rsidR="00FD7603">
        <w:t xml:space="preserve"> </w:t>
      </w:r>
      <w:r w:rsidR="001E2CA5">
        <w:t>ya da devlet personeline yönelik bir zırh olarak kurumsallaşan cezasızlık pratiği karşısında,</w:t>
      </w:r>
      <w:r w:rsidR="0074662B">
        <w:rPr>
          <w:rStyle w:val="Funotenzeichen"/>
        </w:rPr>
        <w:footnoteReference w:id="29"/>
      </w:r>
      <w:r w:rsidR="00993F7B">
        <w:t xml:space="preserve"> </w:t>
      </w:r>
      <w:r w:rsidR="001E2CA5">
        <w:t>Eroğul’un</w:t>
      </w:r>
      <w:r w:rsidR="00191387">
        <w:t>,</w:t>
      </w:r>
      <w:r w:rsidR="001E2CA5">
        <w:t xml:space="preserve"> yargının iktidardan bağımsızlığına ve iktidarı frenleme işlevine dair saptamaları</w:t>
      </w:r>
      <w:r w:rsidR="000C575B">
        <w:t>na şüpheyle yaklaşılabilir</w:t>
      </w:r>
      <w:r w:rsidR="001E2CA5">
        <w:t>.</w:t>
      </w:r>
      <w:r w:rsidR="001D5D71">
        <w:t xml:space="preserve"> Ama bu noktada </w:t>
      </w:r>
      <w:r w:rsidR="00993F7B">
        <w:t>Eroğul’un saptamalarını destekleyebilecek</w:t>
      </w:r>
      <w:r w:rsidR="001D5D71">
        <w:t xml:space="preserve"> önemli bir nüansın altını çizmek gerekir.</w:t>
      </w:r>
      <w:r w:rsidR="002C795B">
        <w:t xml:space="preserve"> </w:t>
      </w:r>
      <w:r w:rsidR="000C40D7">
        <w:t>Türkiye’de y</w:t>
      </w:r>
      <w:r w:rsidR="002C795B">
        <w:t>argının</w:t>
      </w:r>
      <w:r w:rsidR="00117AFB">
        <w:t xml:space="preserve"> geçmişte de</w:t>
      </w:r>
      <w:r w:rsidR="002C795B">
        <w:t xml:space="preserve"> otoriter ve devletçi reflekslerle hukuki alanı biçimlendirdiği </w:t>
      </w:r>
      <w:r w:rsidR="002C795B">
        <w:lastRenderedPageBreak/>
        <w:t>reddedilemeyecek bir olgu olmakla birlikte,</w:t>
      </w:r>
      <w:r w:rsidR="000C40D7">
        <w:rPr>
          <w:rStyle w:val="Funotenzeichen"/>
        </w:rPr>
        <w:footnoteReference w:id="30"/>
      </w:r>
      <w:r w:rsidR="002C795B">
        <w:t xml:space="preserve"> </w:t>
      </w:r>
      <w:r w:rsidR="002C795B" w:rsidRPr="000C40D7">
        <w:rPr>
          <w:i/>
        </w:rPr>
        <w:t>kurumsal</w:t>
      </w:r>
      <w:r w:rsidR="002C795B">
        <w:t xml:space="preserve"> yapısının beraberinde getirdiği belirli düzeydeki özerklik, </w:t>
      </w:r>
      <w:r w:rsidR="002C795B" w:rsidRPr="000C40D7">
        <w:rPr>
          <w:i/>
        </w:rPr>
        <w:t>kuralları</w:t>
      </w:r>
      <w:r w:rsidR="002C795B">
        <w:t xml:space="preserve"> uygulama sürecinde </w:t>
      </w:r>
      <w:r w:rsidR="000C40D7">
        <w:t>sadece</w:t>
      </w:r>
      <w:r w:rsidR="002C795B">
        <w:t xml:space="preserve"> siyasi iktidarın beklentilerini karşılama kaygısının ötesine geçebilmesi</w:t>
      </w:r>
      <w:r w:rsidR="000C40D7">
        <w:t>ne,</w:t>
      </w:r>
      <w:r w:rsidR="00A4484D">
        <w:t xml:space="preserve"> önemli konulara dair bazı uyuşmazlıklarda da</w:t>
      </w:r>
      <w:r w:rsidR="000C40D7">
        <w:t xml:space="preserve"> hukuki bir zemin ve çerçevede kararlar verebilmesine olanak tanıyordu. </w:t>
      </w:r>
    </w:p>
    <w:p w:rsidR="00250DDB" w:rsidRDefault="00063C77" w:rsidP="00933C1B">
      <w:pPr>
        <w:spacing w:after="120" w:line="360" w:lineRule="auto"/>
      </w:pPr>
      <w:r>
        <w:t>Bu nüans,</w:t>
      </w:r>
      <w:r w:rsidR="00DE5FD8">
        <w:t xml:space="preserve"> 80 Darbesi’ni</w:t>
      </w:r>
      <w:r w:rsidR="00EF1591">
        <w:t xml:space="preserve"> izleyen süreçte</w:t>
      </w:r>
      <w:r w:rsidR="001D5D71">
        <w:t xml:space="preserve"> keyfi olarak gerçekleştirilen </w:t>
      </w:r>
      <w:r w:rsidR="00DE5FD8">
        <w:t>kamu</w:t>
      </w:r>
      <w:r w:rsidR="001D5D71">
        <w:t xml:space="preserve"> personel</w:t>
      </w:r>
      <w:r w:rsidR="00DE5FD8">
        <w:t>i</w:t>
      </w:r>
      <w:r w:rsidR="001D5D71">
        <w:t xml:space="preserve"> </w:t>
      </w:r>
      <w:r>
        <w:t xml:space="preserve">kıyımının </w:t>
      </w:r>
      <w:r w:rsidR="00C15AC2">
        <w:t>ardından Danıştay</w:t>
      </w:r>
      <w:r w:rsidR="001E2CA5">
        <w:t>ın verdiği 1402’likler kararı</w:t>
      </w:r>
      <w:r w:rsidR="0089260B">
        <w:rPr>
          <w:rStyle w:val="Funotenzeichen"/>
        </w:rPr>
        <w:footnoteReference w:id="31"/>
      </w:r>
      <w:r w:rsidR="008808F9">
        <w:t xml:space="preserve"> ya da Kürt siyasi hareketini</w:t>
      </w:r>
      <w:r w:rsidR="00A4484D">
        <w:t xml:space="preserve"> temsil idd</w:t>
      </w:r>
      <w:r w:rsidR="008808F9">
        <w:t>iası taşıyan</w:t>
      </w:r>
      <w:r w:rsidR="001E2CA5">
        <w:t xml:space="preserve"> siyasi partileri ardı ardına kapat</w:t>
      </w:r>
      <w:r w:rsidR="008808F9">
        <w:t>a</w:t>
      </w:r>
      <w:r w:rsidR="00DE5FD8">
        <w:t>n</w:t>
      </w:r>
      <w:r w:rsidR="001E2CA5">
        <w:t xml:space="preserve"> </w:t>
      </w:r>
      <w:r w:rsidR="00C15AC2">
        <w:t>Anayasa Mahkemesi</w:t>
      </w:r>
      <w:r w:rsidR="001E2CA5">
        <w:t>nin</w:t>
      </w:r>
      <w:r w:rsidR="00C15AC2">
        <w:t xml:space="preserve"> (AYM)</w:t>
      </w:r>
      <w:r w:rsidR="001E2CA5">
        <w:t>,</w:t>
      </w:r>
      <w:r w:rsidR="0089260B">
        <w:rPr>
          <w:rStyle w:val="Funotenzeichen"/>
        </w:rPr>
        <w:footnoteReference w:id="32"/>
      </w:r>
      <w:r w:rsidR="001E2CA5">
        <w:t xml:space="preserve"> Güneydoğu’da süregiden olağanüstü hal rejimi kapsamında çıkan </w:t>
      </w:r>
      <w:r w:rsidR="00AB1462">
        <w:t>o</w:t>
      </w:r>
      <w:r w:rsidR="002B476B">
        <w:t xml:space="preserve">lağanüstü </w:t>
      </w:r>
      <w:r w:rsidR="00AB1462">
        <w:t>h</w:t>
      </w:r>
      <w:r w:rsidR="002B476B">
        <w:t>al</w:t>
      </w:r>
      <w:r w:rsidR="00AB1462">
        <w:t xml:space="preserve"> kanun hükmünde kararnamelerini </w:t>
      </w:r>
      <w:r w:rsidR="008A5C5C">
        <w:t>anayasal çerçeveye uyg</w:t>
      </w:r>
      <w:r w:rsidR="000C575B">
        <w:t>unluk açısından denet</w:t>
      </w:r>
      <w:r>
        <w:t>leyen içtihadı</w:t>
      </w:r>
      <w:r w:rsidR="0089260B">
        <w:rPr>
          <w:rStyle w:val="Funotenzeichen"/>
        </w:rPr>
        <w:footnoteReference w:id="33"/>
      </w:r>
      <w:r>
        <w:t xml:space="preserve"> çerçevesinde kavranabilir</w:t>
      </w:r>
      <w:r w:rsidR="008A5C5C">
        <w:t xml:space="preserve">. </w:t>
      </w:r>
      <w:r>
        <w:t>Askeri cuntanın etkinliğin</w:t>
      </w:r>
      <w:r w:rsidR="00C15AC2">
        <w:t>i koruduğu bir dönemde Danıştay</w:t>
      </w:r>
      <w:r>
        <w:t>ın insan haklarına uygun olarak gerçekleştirdiği dinamik yorum ya da</w:t>
      </w:r>
      <w:r w:rsidR="00EF1591">
        <w:t xml:space="preserve"> </w:t>
      </w:r>
      <w:r w:rsidR="00C15AC2">
        <w:t>AYM’nin</w:t>
      </w:r>
      <w:r>
        <w:t xml:space="preserve"> olağanüstü rejim pratiğini belirli ölçüde hukuki çerçeveye çeken </w:t>
      </w:r>
      <w:r w:rsidR="00EF1591">
        <w:t xml:space="preserve">tutarlı içtihadı, aksaklık ve keyfilik eğilimlerine karşın, anayasal bir yönetimin varlığından söz edilmesini olanaklı kılan </w:t>
      </w:r>
      <w:r w:rsidR="00EF1591" w:rsidRPr="00CA02DE">
        <w:rPr>
          <w:i/>
        </w:rPr>
        <w:t>kurum ve kuralların işlevin</w:t>
      </w:r>
      <w:r w:rsidR="00EF1591" w:rsidRPr="007E53F9">
        <w:rPr>
          <w:i/>
        </w:rPr>
        <w:t>i</w:t>
      </w:r>
      <w:r w:rsidR="00EF1591">
        <w:t xml:space="preserve"> gösteren önemli örnekler oluşturur.</w:t>
      </w:r>
      <w:r w:rsidR="00993F7B">
        <w:t xml:space="preserve"> </w:t>
      </w:r>
      <w:r w:rsidR="00EF1591">
        <w:t xml:space="preserve">Bu nüansı belirginleştirmek açısından </w:t>
      </w:r>
      <w:r w:rsidR="00857901">
        <w:t xml:space="preserve">Kemal Gözler’in, </w:t>
      </w:r>
      <w:r w:rsidR="007577D3">
        <w:t>“</w:t>
      </w:r>
      <w:r w:rsidR="00857901">
        <w:t>Yeni</w:t>
      </w:r>
      <w:r w:rsidR="007577D3">
        <w:t>”</w:t>
      </w:r>
      <w:r w:rsidR="00857901">
        <w:t xml:space="preserve"> Türkiye’nin hukuk düzenine dair </w:t>
      </w:r>
      <w:r w:rsidR="00760BA4">
        <w:t xml:space="preserve">tasviri </w:t>
      </w:r>
      <w:r w:rsidR="0089260B">
        <w:t>yardımcı</w:t>
      </w:r>
      <w:r w:rsidR="00857901">
        <w:t xml:space="preserve"> olabilir:</w:t>
      </w:r>
    </w:p>
    <w:p w:rsidR="00857901" w:rsidRDefault="00857901" w:rsidP="00933C1B">
      <w:pPr>
        <w:spacing w:after="120" w:line="360" w:lineRule="auto"/>
      </w:pPr>
      <w:r>
        <w:t xml:space="preserve">“Artık anayasa veya kanunlardaki kurallara bakmak, karşılaşılan hukukî sorunun nasıl çözümleneceği konusunda bir fikir vermiyor. Örneğin anayasa mahkemelerinin önündeki bir iptal davasının sonucunu tahmin etmek için anayasanın ne dediğine bakmanın bir yararı yok. Zira artık anayasa mahkemesi kararları anayasaya değil, birtakım hukuk dışı faktörlere bağlı. Belirli bir davada anayasa mahkemesinin ne yönde karar vereceğini anayasa hukuku profesörleri değil, gazeteciler daha iyi tahmin ediyorlar. Aynı şey idare ve ceza hukuku için de geçerli. İktidarın önem verdiği bir idarî işlemin idarî yargı tarafından iptal edilme ihtimali neredeyse sıfır. Bugün, siyasî niteliği olan bir olayda, en kıdemli ceza hukuku profesörleri dahi gözaltına alınan bir kişinin tutuklanıp tutuklanmayacağını, sanığın </w:t>
      </w:r>
      <w:r w:rsidR="00984600">
        <w:t>mahkûm</w:t>
      </w:r>
      <w:r>
        <w:t xml:space="preserve"> olup olmayacağını bize önceden söyleyemez. Ceza hukuku profesörlerinin bilgileri artık bu konuda bir işe yaramıyor.”</w:t>
      </w:r>
      <w:r w:rsidR="00984600">
        <w:rPr>
          <w:rStyle w:val="Funotenzeichen"/>
        </w:rPr>
        <w:footnoteReference w:id="34"/>
      </w:r>
    </w:p>
    <w:p w:rsidR="00706D12" w:rsidRDefault="00191387" w:rsidP="00933C1B">
      <w:pPr>
        <w:spacing w:after="120" w:line="360" w:lineRule="auto"/>
      </w:pPr>
      <w:r>
        <w:lastRenderedPageBreak/>
        <w:t>“</w:t>
      </w:r>
      <w:r w:rsidR="00902CB1">
        <w:t>Eski</w:t>
      </w:r>
      <w:r>
        <w:t>”</w:t>
      </w:r>
      <w:r w:rsidR="00902CB1">
        <w:t xml:space="preserve"> Türkiye’nin </w:t>
      </w:r>
      <w:r w:rsidR="002B476B">
        <w:t>AYM’</w:t>
      </w:r>
      <w:r w:rsidR="007D6660">
        <w:t>si</w:t>
      </w:r>
      <w:r w:rsidR="00902CB1">
        <w:t>ni</w:t>
      </w:r>
      <w:r w:rsidR="0068436F">
        <w:t>n</w:t>
      </w:r>
      <w:r w:rsidR="00902CB1">
        <w:t xml:space="preserve"> </w:t>
      </w:r>
      <w:r w:rsidR="00EF1591">
        <w:t>kritik kararlarına karşı</w:t>
      </w:r>
      <w:r w:rsidR="00706D12">
        <w:t xml:space="preserve"> sert</w:t>
      </w:r>
      <w:r w:rsidR="00B945C3">
        <w:t xml:space="preserve"> eleştiriler getiren</w:t>
      </w:r>
      <w:r w:rsidR="00013051">
        <w:rPr>
          <w:rStyle w:val="Funotenzeichen"/>
        </w:rPr>
        <w:footnoteReference w:id="35"/>
      </w:r>
      <w:r w:rsidR="00902CB1">
        <w:t xml:space="preserve"> Gözler’in, </w:t>
      </w:r>
      <w:r>
        <w:t>“</w:t>
      </w:r>
      <w:r w:rsidR="00984600">
        <w:t>Yeni</w:t>
      </w:r>
      <w:r>
        <w:t>”</w:t>
      </w:r>
      <w:r w:rsidR="00984600">
        <w:t xml:space="preserve"> Türkiye’</w:t>
      </w:r>
      <w:r w:rsidR="002B476B">
        <w:t>de</w:t>
      </w:r>
      <w:r w:rsidR="00984600">
        <w:t xml:space="preserve"> </w:t>
      </w:r>
      <w:r w:rsidR="0089260B">
        <w:t>A</w:t>
      </w:r>
      <w:r w:rsidR="002B476B">
        <w:t>YM</w:t>
      </w:r>
      <w:r w:rsidR="00902CB1">
        <w:t xml:space="preserve"> kararlarının “</w:t>
      </w:r>
      <w:r w:rsidR="00706D12">
        <w:t>artık</w:t>
      </w:r>
      <w:r w:rsidR="007750A5">
        <w:t>”</w:t>
      </w:r>
      <w:r w:rsidR="00706D12">
        <w:t xml:space="preserve"> </w:t>
      </w:r>
      <w:r w:rsidR="00902CB1">
        <w:t xml:space="preserve">hukuk dışı faktörlere bağlı olduğunu ve </w:t>
      </w:r>
      <w:r w:rsidR="00706D12">
        <w:t>siyasi</w:t>
      </w:r>
      <w:r w:rsidR="00902CB1">
        <w:t xml:space="preserve"> iktidarın önem verdiği bir idari işlemi</w:t>
      </w:r>
      <w:r w:rsidR="0089260B">
        <w:t>n</w:t>
      </w:r>
      <w:r w:rsidR="00902CB1">
        <w:t>, idari yargı tarafından iptal edilmesinin olanak</w:t>
      </w:r>
      <w:r w:rsidR="0089260B">
        <w:t>sızlığını</w:t>
      </w:r>
      <w:r w:rsidR="00902CB1">
        <w:t xml:space="preserve"> vurgulaması,</w:t>
      </w:r>
      <w:r w:rsidR="00706D12">
        <w:t xml:space="preserve"> kurum ve kuralların siyasi iktidarı asgari de olsa kısıtlayabilecek niteliğinin</w:t>
      </w:r>
      <w:r w:rsidR="00FF0F66">
        <w:t>, dolayısıyla düzenin gayri şahsiliğinin</w:t>
      </w:r>
      <w:r w:rsidR="00706D12">
        <w:t xml:space="preserve"> </w:t>
      </w:r>
      <w:r w:rsidR="00AA39C9">
        <w:t>büyük ölçüde zayıflamasıyla</w:t>
      </w:r>
      <w:r w:rsidR="00706D12">
        <w:t xml:space="preserve"> ilişkilendirilebilir. Bu açıdan, 80’lerde Danıştay ve 90’larda AYM</w:t>
      </w:r>
      <w:r w:rsidR="0089260B">
        <w:t xml:space="preserve"> tarafından</w:t>
      </w:r>
      <w:r w:rsidR="00706D12">
        <w:t xml:space="preserve"> </w:t>
      </w:r>
      <w:r w:rsidR="00AB1462">
        <w:t>olağanüstü hal</w:t>
      </w:r>
      <w:r w:rsidR="00706D12">
        <w:t xml:space="preserve"> rejimini süre, zaman </w:t>
      </w:r>
      <w:r w:rsidR="0089260B">
        <w:t>ve konu bakımından sınırlandıracak şekilde geliştirilen</w:t>
      </w:r>
      <w:r w:rsidR="00706D12">
        <w:t xml:space="preserve"> içtihadın</w:t>
      </w:r>
      <w:r w:rsidR="00984600">
        <w:t>,</w:t>
      </w:r>
      <w:r w:rsidR="00706D12">
        <w:t xml:space="preserve"> 15 Temmuz Darbe Girişimi sonrası ilan edilen </w:t>
      </w:r>
      <w:r w:rsidR="00AB1462">
        <w:t>olağanüstü hal</w:t>
      </w:r>
      <w:r w:rsidR="00706D12">
        <w:t xml:space="preserve"> sürecinde AYM tarafından terkedilmesi,</w:t>
      </w:r>
      <w:r w:rsidR="0089260B">
        <w:rPr>
          <w:rStyle w:val="Funotenzeichen"/>
        </w:rPr>
        <w:footnoteReference w:id="36"/>
      </w:r>
      <w:r w:rsidR="00706D12">
        <w:t xml:space="preserve"> anlamlı bir örnek oluşturur. </w:t>
      </w:r>
    </w:p>
    <w:p w:rsidR="00FF0F66" w:rsidRDefault="00706D12" w:rsidP="0068436F">
      <w:pPr>
        <w:spacing w:after="120" w:line="360" w:lineRule="auto"/>
      </w:pPr>
      <w:r>
        <w:t>Bu noktada AYM’nin Barış İçin Akademisyenler gibi bazı güncel davalarda, kıl payı da olsa verdiği ihlal kararları akla gelebilir.</w:t>
      </w:r>
      <w:r w:rsidR="0074622F">
        <w:rPr>
          <w:rStyle w:val="Funotenzeichen"/>
        </w:rPr>
        <w:footnoteReference w:id="37"/>
      </w:r>
      <w:r>
        <w:t xml:space="preserve"> Fakat bu kararın</w:t>
      </w:r>
      <w:r w:rsidR="000C575B">
        <w:t>, üniversitedeki tasfiye süreci tamamlandıktan sonra verildiği ve özellikle</w:t>
      </w:r>
      <w:r>
        <w:t xml:space="preserve"> akademiden</w:t>
      </w:r>
      <w:r w:rsidR="009340AB">
        <w:t xml:space="preserve"> ihraçlar konusunda </w:t>
      </w:r>
      <w:r w:rsidR="009340AB" w:rsidRPr="007577D3">
        <w:rPr>
          <w:i/>
        </w:rPr>
        <w:t>fiilen</w:t>
      </w:r>
      <w:r w:rsidR="009340AB">
        <w:t xml:space="preserve"> herhangi bir etki</w:t>
      </w:r>
      <w:r w:rsidR="00984600">
        <w:t>si olmadığı</w:t>
      </w:r>
      <w:r w:rsidR="000C575B">
        <w:t xml:space="preserve"> unutulmamalıdır.</w:t>
      </w:r>
      <w:r w:rsidR="009340AB">
        <w:t xml:space="preserve"> Buna karşın</w:t>
      </w:r>
      <w:r w:rsidR="000C575B">
        <w:t xml:space="preserve"> </w:t>
      </w:r>
      <w:r w:rsidR="009340AB">
        <w:t xml:space="preserve">AYM, ifade özgürlüğü üzerinde ağır </w:t>
      </w:r>
      <w:r w:rsidR="00AA39C9">
        <w:t>baskı yaratan</w:t>
      </w:r>
      <w:r w:rsidR="009340AB">
        <w:t xml:space="preserve"> c</w:t>
      </w:r>
      <w:r w:rsidR="000C575B">
        <w:t>umhurbaşkanına hakaret suçunu</w:t>
      </w:r>
      <w:r w:rsidR="009340AB">
        <w:t xml:space="preserve"> somut norm denetimi kapsamında anayasaya aykırı görmediği</w:t>
      </w:r>
      <w:r w:rsidR="00AB4497">
        <w:rPr>
          <w:rStyle w:val="Funotenzeichen"/>
        </w:rPr>
        <w:footnoteReference w:id="38"/>
      </w:r>
      <w:r w:rsidR="009340AB">
        <w:t xml:space="preserve"> gibi bu suça dayanılarak verilen </w:t>
      </w:r>
      <w:r w:rsidR="000C575B">
        <w:t>binlerce hapis cezasına rağmen,</w:t>
      </w:r>
      <w:r w:rsidR="009340AB">
        <w:t xml:space="preserve"> bireysel başvuru sürecinde bu konuyu ele almaktan ve etkili bir içt</w:t>
      </w:r>
      <w:r w:rsidR="0089260B">
        <w:t>ihat oluşturmaktan</w:t>
      </w:r>
      <w:r w:rsidR="008808F9">
        <w:t xml:space="preserve"> uzun bir süre</w:t>
      </w:r>
      <w:r w:rsidR="0089260B">
        <w:t xml:space="preserve"> kaçın</w:t>
      </w:r>
      <w:r w:rsidR="007750A5">
        <w:t>m</w:t>
      </w:r>
      <w:r w:rsidR="00FF0F66">
        <w:t>ıştır</w:t>
      </w:r>
      <w:r w:rsidR="007750A5">
        <w:t>.</w:t>
      </w:r>
      <w:r w:rsidR="00AB4497">
        <w:rPr>
          <w:rStyle w:val="Funotenzeichen"/>
        </w:rPr>
        <w:footnoteReference w:id="39"/>
      </w:r>
      <w:r w:rsidR="00FF0F66">
        <w:t xml:space="preserve"> Cumhurbaşkanına hakaret suçu nedeniyle bireylerin ifade özgürlüğünün ihlal edildiğine dair yıllar sonra verdiği yakın tarihli üç kararı</w:t>
      </w:r>
      <w:r w:rsidR="008808F9">
        <w:t xml:space="preserve"> ise</w:t>
      </w:r>
      <w:r w:rsidR="00FF0F66">
        <w:t>,</w:t>
      </w:r>
      <w:r w:rsidR="00FF0F66">
        <w:rPr>
          <w:rStyle w:val="Funotenzeichen"/>
        </w:rPr>
        <w:footnoteReference w:id="40"/>
      </w:r>
      <w:r w:rsidR="00FF0F66">
        <w:t xml:space="preserve"> </w:t>
      </w:r>
      <w:r w:rsidR="00933541">
        <w:t>süreç içerisinde oluşan caydırıcı etki dikkate alındığında</w:t>
      </w:r>
      <w:r w:rsidR="00AA39C9">
        <w:t xml:space="preserve"> bugün için</w:t>
      </w:r>
      <w:r w:rsidR="00FF0F66">
        <w:t xml:space="preserve"> önemli bir etki doğurmaktan uzaktır.</w:t>
      </w:r>
    </w:p>
    <w:p w:rsidR="00FF0F66" w:rsidRDefault="001723EF" w:rsidP="0068436F">
      <w:pPr>
        <w:spacing w:after="120" w:line="360" w:lineRule="auto"/>
      </w:pPr>
      <w:r>
        <w:t xml:space="preserve">Demokratik </w:t>
      </w:r>
      <w:r w:rsidR="007750A5">
        <w:t xml:space="preserve">siyasi </w:t>
      </w:r>
      <w:r>
        <w:t>katılımın başat araçlarından biri olmasına rağmen</w:t>
      </w:r>
      <w:r w:rsidR="0000546F">
        <w:t xml:space="preserve"> fiilen geçersiz kılınan bir hak olan toplanma özgürlüğü açısından da AYM’nin benzer bir yaklaşım geliştirdiği </w:t>
      </w:r>
      <w:r w:rsidR="0068436F">
        <w:t>gözlemlenmektedir</w:t>
      </w:r>
      <w:r w:rsidR="0000546F">
        <w:t xml:space="preserve">. </w:t>
      </w:r>
      <w:r w:rsidR="0000546F" w:rsidRPr="0000546F">
        <w:t>Toplantı ve Gösteri Yürüyüşü Kanunu’nun bazı maddelerini</w:t>
      </w:r>
      <w:r w:rsidR="00360413">
        <w:t>n iptali için açılan davada AYM</w:t>
      </w:r>
      <w:r w:rsidR="0000546F" w:rsidRPr="0000546F">
        <w:t xml:space="preserve"> valilere, </w:t>
      </w:r>
      <w:r w:rsidR="00464CEA">
        <w:t>toplanma</w:t>
      </w:r>
      <w:r w:rsidR="0000546F" w:rsidRPr="0000546F">
        <w:t xml:space="preserve"> alanları</w:t>
      </w:r>
      <w:r w:rsidR="00464CEA">
        <w:t>nı</w:t>
      </w:r>
      <w:r w:rsidR="0000546F" w:rsidRPr="0000546F">
        <w:t xml:space="preserve"> belirleme konusunda sınırsız bir takdir yetkisi tanıyan hüküm ile spontane gösterileri kanun dışı sayan hükm</w:t>
      </w:r>
      <w:r>
        <w:t>ü anayasaya aykırı görme</w:t>
      </w:r>
      <w:r w:rsidR="0089260B">
        <w:t>yerek</w:t>
      </w:r>
      <w:r>
        <w:t>,</w:t>
      </w:r>
      <w:r w:rsidR="00FA139B">
        <w:rPr>
          <w:rStyle w:val="Funotenzeichen"/>
        </w:rPr>
        <w:footnoteReference w:id="41"/>
      </w:r>
      <w:r w:rsidR="00FA139B">
        <w:t xml:space="preserve"> </w:t>
      </w:r>
      <w:r>
        <w:lastRenderedPageBreak/>
        <w:t>mekan yasaklarına aykırılık ve bildirim yükümlülüğündeki eksiklik gerekçesiyle toplanma özgürlüğü</w:t>
      </w:r>
      <w:r w:rsidR="0068436F">
        <w:t>nün fiilen geçersiz kılınması politikasının sürdürülebilmesinde</w:t>
      </w:r>
      <w:r>
        <w:t xml:space="preserve"> önemli bir rol oynamıştır. </w:t>
      </w:r>
    </w:p>
    <w:p w:rsidR="000C575B" w:rsidRDefault="0068436F" w:rsidP="0068436F">
      <w:pPr>
        <w:spacing w:after="120" w:line="360" w:lineRule="auto"/>
      </w:pPr>
      <w:r>
        <w:t>Son ve önemli bir örnek de AYM’nin 15 Temmuz Darbe Girişimi sonrası kamu görevinden ihraçlarda kullanılan ve halen k</w:t>
      </w:r>
      <w:r w:rsidR="001723EF">
        <w:t xml:space="preserve">amu personeli üzerinde Demokles’in Kılıcı </w:t>
      </w:r>
      <w:r>
        <w:t>gibi</w:t>
      </w:r>
      <w:r w:rsidR="001723EF">
        <w:t xml:space="preserve"> asılı duran iltisak kavramın</w:t>
      </w:r>
      <w:r w:rsidR="008C20FE">
        <w:t>a</w:t>
      </w:r>
      <w:r w:rsidR="00570AD4">
        <w:rPr>
          <w:rStyle w:val="Funotenzeichen"/>
        </w:rPr>
        <w:footnoteReference w:id="42"/>
      </w:r>
      <w:r w:rsidR="001723EF">
        <w:t xml:space="preserve"> ve bu kavramla aynı muğlaklıkta olan terör örgütleri ile eylem birliği içinde olmak suçun</w:t>
      </w:r>
      <w:r w:rsidR="008C20FE">
        <w:t>a</w:t>
      </w:r>
      <w:r w:rsidR="00570AD4">
        <w:rPr>
          <w:rStyle w:val="Funotenzeichen"/>
        </w:rPr>
        <w:footnoteReference w:id="43"/>
      </w:r>
      <w:r>
        <w:t xml:space="preserve"> </w:t>
      </w:r>
      <w:r w:rsidR="008C20FE">
        <w:t>dair</w:t>
      </w:r>
      <w:r>
        <w:t xml:space="preserve"> içtihadıdır. AYM bu kara</w:t>
      </w:r>
      <w:r w:rsidR="008C20FE">
        <w:t xml:space="preserve">rlarında her iki muğlak kavramı anayasaya aykırı görmeyerek, </w:t>
      </w:r>
      <w:r w:rsidR="0089260B">
        <w:t xml:space="preserve">olağan dönem hukuk rejiminin </w:t>
      </w:r>
      <w:r w:rsidR="008C20FE">
        <w:t>“</w:t>
      </w:r>
      <w:r w:rsidR="0089260B">
        <w:t>meşru</w:t>
      </w:r>
      <w:r w:rsidR="008C20FE">
        <w:t>”</w:t>
      </w:r>
      <w:r w:rsidR="0089260B">
        <w:t xml:space="preserve"> bir parçası haline getir</w:t>
      </w:r>
      <w:r w:rsidR="008C20FE">
        <w:t>miş</w:t>
      </w:r>
      <w:r w:rsidR="008449F3">
        <w:t>,</w:t>
      </w:r>
      <w:r w:rsidR="008C20FE">
        <w:t xml:space="preserve"> </w:t>
      </w:r>
      <w:r w:rsidR="008449F3">
        <w:t>kamu personelinin belirlenmesinde sınırsız bir tasarruf y</w:t>
      </w:r>
      <w:r w:rsidR="003E7748">
        <w:t>etkisini siyasi iktidara tanıyarak kamu hizmetin</w:t>
      </w:r>
      <w:r w:rsidR="008808F9">
        <w:t>e girme hakkını etkisizleştirmesine</w:t>
      </w:r>
      <w:r w:rsidR="008449F3">
        <w:t xml:space="preserve"> ve</w:t>
      </w:r>
      <w:r w:rsidR="00464CEA">
        <w:t xml:space="preserve"> böylelikle</w:t>
      </w:r>
      <w:r w:rsidR="008C20FE">
        <w:t xml:space="preserve"> hukuk devleti ilkesinin yurttaşlara sağladığı temel güvencelerden biri olan öngörülebilirliği</w:t>
      </w:r>
      <w:r w:rsidR="00CA02DE">
        <w:t>n ortadan kaldırılmasın</w:t>
      </w:r>
      <w:r w:rsidR="00464CEA">
        <w:t>a anayasal bir dayanak sunmuştur</w:t>
      </w:r>
      <w:r w:rsidR="008C20FE">
        <w:t xml:space="preserve">. </w:t>
      </w:r>
      <w:r w:rsidR="001723EF">
        <w:t xml:space="preserve"> </w:t>
      </w:r>
    </w:p>
    <w:p w:rsidR="003A7398" w:rsidRPr="00616959" w:rsidRDefault="00AA39C9" w:rsidP="00616959">
      <w:pPr>
        <w:pStyle w:val="Listenabsatz"/>
        <w:numPr>
          <w:ilvl w:val="0"/>
          <w:numId w:val="1"/>
        </w:numPr>
        <w:spacing w:after="120" w:line="360" w:lineRule="auto"/>
        <w:rPr>
          <w:b/>
        </w:rPr>
      </w:pPr>
      <w:r w:rsidRPr="00616959">
        <w:rPr>
          <w:b/>
        </w:rPr>
        <w:t>Karizmatik Otoritenin Yükselişinin</w:t>
      </w:r>
      <w:r w:rsidR="003A7398" w:rsidRPr="00616959">
        <w:rPr>
          <w:b/>
        </w:rPr>
        <w:t xml:space="preserve"> Dinamikleri</w:t>
      </w:r>
    </w:p>
    <w:p w:rsidR="00284D42" w:rsidRDefault="003D4824" w:rsidP="0061244F">
      <w:pPr>
        <w:spacing w:after="120" w:line="360" w:lineRule="auto"/>
      </w:pPr>
      <w:r>
        <w:t>Türkiye’de yasal otoritenin</w:t>
      </w:r>
      <w:r w:rsidR="00FF5DEC">
        <w:t xml:space="preserve"> gerileyişinin</w:t>
      </w:r>
      <w:r w:rsidR="00F31956">
        <w:t xml:space="preserve">, </w:t>
      </w:r>
      <w:r>
        <w:t>diğer bir ifadeyle</w:t>
      </w:r>
      <w:r w:rsidR="00F31956">
        <w:t xml:space="preserve"> kurum ve kurallarıyla anayasal yönetim anlayışının </w:t>
      </w:r>
      <w:r w:rsidR="00360413">
        <w:t>ortadan kalkmasının</w:t>
      </w:r>
      <w:r w:rsidR="00B945C3">
        <w:t xml:space="preserve"> uzun bir </w:t>
      </w:r>
      <w:r w:rsidR="00550024">
        <w:t>zaman dilimine</w:t>
      </w:r>
      <w:r w:rsidR="00B945C3">
        <w:t xml:space="preserve"> yayıldığı söylenebilir.</w:t>
      </w:r>
      <w:r w:rsidR="00FF5DEC">
        <w:t xml:space="preserve"> </w:t>
      </w:r>
      <w:r w:rsidR="002F3765">
        <w:t>Bu süre</w:t>
      </w:r>
      <w:r w:rsidR="0061244F">
        <w:t>cin önemli bir özelliği, hukuka uygun yönetme vaadinin siyasi iktidarın meşruiyet söylemindeki yerinin zayıflayışıdır.</w:t>
      </w:r>
      <w:r w:rsidR="00284D42">
        <w:t xml:space="preserve"> </w:t>
      </w:r>
      <w:r w:rsidR="0061244F">
        <w:t>H</w:t>
      </w:r>
      <w:r w:rsidR="0089260B">
        <w:t xml:space="preserve">er türlü vesayetin </w:t>
      </w:r>
      <w:r w:rsidR="003E7748">
        <w:t>yıkılarak</w:t>
      </w:r>
      <w:r w:rsidR="002F3765">
        <w:t xml:space="preserve"> </w:t>
      </w:r>
      <w:r w:rsidR="0089260B">
        <w:t>“adalet”in</w:t>
      </w:r>
      <w:r w:rsidR="00CA02DE">
        <w:t xml:space="preserve"> sağlan</w:t>
      </w:r>
      <w:r w:rsidR="00FA7FA1">
        <w:t>ması</w:t>
      </w:r>
      <w:r w:rsidR="00CA02DE">
        <w:t xml:space="preserve"> ve</w:t>
      </w:r>
      <w:r w:rsidR="0089260B">
        <w:t xml:space="preserve"> her türlü tehdidin berta</w:t>
      </w:r>
      <w:r w:rsidR="00CA02DE">
        <w:t>raf edilerek “istikrar”ın tesis edil</w:t>
      </w:r>
      <w:r w:rsidR="00FA7FA1">
        <w:t>mesi</w:t>
      </w:r>
      <w:r w:rsidR="0061244F">
        <w:t xml:space="preserve">, hukukiliğin yerine geçen </w:t>
      </w:r>
      <w:r w:rsidR="00FA7FA1">
        <w:t>vaatler</w:t>
      </w:r>
      <w:r w:rsidR="0061244F">
        <w:t xml:space="preserve"> olarak dikkat çeker. </w:t>
      </w:r>
      <w:r w:rsidR="00284D42">
        <w:t>Karizmatik liderin dönüştürücü ve devrimci misyonun</w:t>
      </w:r>
      <w:r w:rsidR="0077439A">
        <w:t>un</w:t>
      </w:r>
      <w:r w:rsidR="00284D42">
        <w:t xml:space="preserve"> temelini teşkil eden bu </w:t>
      </w:r>
      <w:r w:rsidR="00AA39C9">
        <w:t>vaatler</w:t>
      </w:r>
      <w:r w:rsidR="00284D42">
        <w:t xml:space="preserve">, kurum ve kuralların etkisizleştirilmesine zemin hazırlayarak, karizmatik otoritenin siyasi rejim içinde belirleyici hale gelmesinde önemli bir rol oynamıştır. </w:t>
      </w:r>
    </w:p>
    <w:p w:rsidR="003B722F" w:rsidRDefault="0061244F" w:rsidP="0061244F">
      <w:pPr>
        <w:spacing w:after="120" w:line="360" w:lineRule="auto"/>
      </w:pPr>
      <w:r>
        <w:t>Bu</w:t>
      </w:r>
      <w:r w:rsidR="002F3765">
        <w:t xml:space="preserve"> </w:t>
      </w:r>
      <w:r w:rsidR="00F31956">
        <w:t>sürecin başlangıcı</w:t>
      </w:r>
      <w:r w:rsidR="00360413">
        <w:t>nı</w:t>
      </w:r>
      <w:r w:rsidR="00786E2F">
        <w:t xml:space="preserve"> 200</w:t>
      </w:r>
      <w:r w:rsidR="007577D3">
        <w:t>8</w:t>
      </w:r>
      <w:r w:rsidR="00786E2F">
        <w:t xml:space="preserve"> yılın</w:t>
      </w:r>
      <w:r w:rsidR="00B945C3">
        <w:t>a,</w:t>
      </w:r>
      <w:r w:rsidR="00786E2F">
        <w:t xml:space="preserve"> delil yaratma teknikleriyle harmanlanan</w:t>
      </w:r>
      <w:r w:rsidR="00F31956">
        <w:t xml:space="preserve"> Ergenekon, Balyoz ve KCK gibi</w:t>
      </w:r>
      <w:r w:rsidR="00786E2F">
        <w:t xml:space="preserve"> büyük siyasi hesaplaşma davalarına kadar götür</w:t>
      </w:r>
      <w:r w:rsidR="002F3765">
        <w:t>mek mümkün</w:t>
      </w:r>
      <w:r w:rsidR="00786E2F">
        <w:t>. Bu davaların</w:t>
      </w:r>
      <w:r w:rsidR="00B945C3">
        <w:t xml:space="preserve"> temel özelliklerinden biri, hukukun ve hukuki süreçlerin </w:t>
      </w:r>
      <w:r w:rsidR="007146DA">
        <w:t>şekli kısıtlarını göreceleştirerek</w:t>
      </w:r>
      <w:r w:rsidR="00B945C3">
        <w:t>,</w:t>
      </w:r>
      <w:r w:rsidR="00786E2F">
        <w:t xml:space="preserve"> bu anlamda suçta ve cezada kanunilik ya da adil yargılanma hakkı gibi </w:t>
      </w:r>
      <w:r w:rsidR="00B945C3">
        <w:t>usuli güvenceleri geçersiz kılmasıydı</w:t>
      </w:r>
      <w:r w:rsidR="00013051">
        <w:t>.</w:t>
      </w:r>
      <w:r w:rsidR="00786E2F">
        <w:t xml:space="preserve"> </w:t>
      </w:r>
      <w:r w:rsidR="00B945C3">
        <w:t>Yargılama</w:t>
      </w:r>
      <w:r w:rsidR="007146DA">
        <w:t>larda</w:t>
      </w:r>
      <w:r w:rsidR="00540BC1" w:rsidRPr="00540BC1">
        <w:t xml:space="preserve"> öne çıkan esas amaç, adil yargılanma ilkelerine uygun bir </w:t>
      </w:r>
      <w:r w:rsidR="007146DA">
        <w:t>süreç</w:t>
      </w:r>
      <w:r w:rsidR="00540BC1" w:rsidRPr="00540BC1">
        <w:t xml:space="preserve"> sonucunda madd</w:t>
      </w:r>
      <w:r w:rsidR="008C7DED">
        <w:t>i gerçeğin ortaya çıkarılmasından</w:t>
      </w:r>
      <w:r w:rsidR="00540BC1" w:rsidRPr="00540BC1">
        <w:t xml:space="preserve"> öte, suçlu olduğu varsayılan grupların cezalandırılarak, adil olduğu</w:t>
      </w:r>
      <w:r w:rsidR="007146DA">
        <w:t xml:space="preserve"> önceden kabul ve ilan edilen</w:t>
      </w:r>
      <w:r w:rsidR="00540BC1" w:rsidRPr="00540BC1">
        <w:t xml:space="preserve"> amaçlara ulaşılmasıydı. </w:t>
      </w:r>
      <w:r w:rsidR="00540BC1">
        <w:t xml:space="preserve">En veciz halini </w:t>
      </w:r>
      <w:r w:rsidR="00B945C3">
        <w:t>“</w:t>
      </w:r>
      <w:r w:rsidR="00540BC1">
        <w:t>Türkiye bağırsaklarını boşaltıyor</w:t>
      </w:r>
      <w:r w:rsidR="00B945C3">
        <w:t>”</w:t>
      </w:r>
      <w:r w:rsidR="00964EFE">
        <w:rPr>
          <w:rStyle w:val="Funotenzeichen"/>
        </w:rPr>
        <w:footnoteReference w:id="44"/>
      </w:r>
      <w:r w:rsidR="00013051">
        <w:t xml:space="preserve"> ifadesinde bulan bu</w:t>
      </w:r>
      <w:r w:rsidR="00540BC1">
        <w:t xml:space="preserve"> </w:t>
      </w:r>
      <w:r w:rsidR="00B945C3">
        <w:lastRenderedPageBreak/>
        <w:t>yaklaşım</w:t>
      </w:r>
      <w:r w:rsidR="00540BC1">
        <w:t>, us</w:t>
      </w:r>
      <w:r w:rsidR="00B945C3">
        <w:t>uli güvencelere dayanan bir yargılamanın sağlayabileceği</w:t>
      </w:r>
      <w:r w:rsidR="00540BC1">
        <w:t xml:space="preserve"> adalet</w:t>
      </w:r>
      <w:r w:rsidR="008C7DED">
        <w:t xml:space="preserve">in değersizleşmesi ve </w:t>
      </w:r>
      <w:r w:rsidR="00540BC1">
        <w:t>kıymeti kendin</w:t>
      </w:r>
      <w:r w:rsidR="00B945C3">
        <w:t>den menkul bir adaletin her ne pahasına olursa olsun tesis edilmesi</w:t>
      </w:r>
      <w:r w:rsidR="008C7DED">
        <w:t xml:space="preserve"> hedefinin ön plana çıkması sonucunu doğuruyordu.</w:t>
      </w:r>
      <w:r w:rsidR="00B945C3">
        <w:t xml:space="preserve"> </w:t>
      </w:r>
    </w:p>
    <w:p w:rsidR="007146DA" w:rsidRDefault="00D92347" w:rsidP="00933C1B">
      <w:pPr>
        <w:spacing w:after="120" w:line="360" w:lineRule="auto"/>
      </w:pPr>
      <w:r>
        <w:t>S</w:t>
      </w:r>
      <w:r w:rsidR="00013051">
        <w:t xml:space="preserve">iyasi iktidarın meşruiyet söyleminde hukuka uygunluğun </w:t>
      </w:r>
      <w:r w:rsidR="007146DA">
        <w:t>tali hale gelmesinde</w:t>
      </w:r>
      <w:r>
        <w:t xml:space="preserve">, 2013 yılında gerçekleşen </w:t>
      </w:r>
      <w:r w:rsidRPr="0077439A">
        <w:rPr>
          <w:i/>
        </w:rPr>
        <w:t>Gezi Protestoları</w:t>
      </w:r>
      <w:r>
        <w:t xml:space="preserve">, </w:t>
      </w:r>
      <w:r w:rsidR="00013051">
        <w:t xml:space="preserve"> bir </w:t>
      </w:r>
      <w:r w:rsidR="00013051" w:rsidRPr="0077439A">
        <w:rPr>
          <w:i/>
        </w:rPr>
        <w:t>dönüm noktası</w:t>
      </w:r>
      <w:r w:rsidR="00013051">
        <w:t xml:space="preserve"> olarak nitelendirilebilir.</w:t>
      </w:r>
      <w:r w:rsidR="003E7748">
        <w:t xml:space="preserve"> Bu </w:t>
      </w:r>
      <w:r w:rsidR="00345F27">
        <w:t>tarihten itibaren</w:t>
      </w:r>
      <w:r w:rsidR="00013051">
        <w:t xml:space="preserve"> </w:t>
      </w:r>
      <w:r w:rsidR="003E7748">
        <w:t>i</w:t>
      </w:r>
      <w:r w:rsidR="00013051">
        <w:t xml:space="preserve">ç ve dış tehditlere karşı mücadelenin siyasi iktidarın temel söylemi </w:t>
      </w:r>
      <w:r w:rsidR="002E7331">
        <w:t>olarak öne çıkmasıyla</w:t>
      </w:r>
      <w:r w:rsidR="00013051">
        <w:t xml:space="preserve"> birlikte, hukuki yükümlülüklerin </w:t>
      </w:r>
      <w:r w:rsidR="0004683B">
        <w:t>siyasi iktidarın meşru mücadelesini kısıtlayan gayri meşru engellere dönüştüğüne dair vurgu</w:t>
      </w:r>
      <w:r w:rsidR="00345F27">
        <w:t>nun</w:t>
      </w:r>
      <w:r w:rsidR="0004683B">
        <w:t xml:space="preserve"> ağırlık kazanm</w:t>
      </w:r>
      <w:r w:rsidR="007146DA">
        <w:t>aya başla</w:t>
      </w:r>
      <w:r w:rsidR="008C7DED">
        <w:t>dığı</w:t>
      </w:r>
      <w:r w:rsidR="00345F27">
        <w:t xml:space="preserve"> göz çarpar</w:t>
      </w:r>
      <w:r w:rsidR="007146DA">
        <w:t>.</w:t>
      </w:r>
      <w:r w:rsidR="0077439A">
        <w:t xml:space="preserve"> </w:t>
      </w:r>
      <w:r w:rsidR="00BF66EB">
        <w:t>M</w:t>
      </w:r>
      <w:r w:rsidR="0077439A">
        <w:t xml:space="preserve">ülki amirlere, </w:t>
      </w:r>
      <w:r w:rsidR="0077439A">
        <w:rPr>
          <w:szCs w:val="24"/>
        </w:rPr>
        <w:t>gerektiğinde hukuk kurallarını bir kenara koymaları ve gerçekleştirdikleri zihinsel devrim sonucunda aldıkları kararları, halkın çıkarlarını korumak için uygulamaları</w:t>
      </w:r>
      <w:r w:rsidR="00BF66EB">
        <w:rPr>
          <w:szCs w:val="24"/>
        </w:rPr>
        <w:t xml:space="preserve"> yönündeki </w:t>
      </w:r>
      <w:r w:rsidR="00911D82">
        <w:rPr>
          <w:szCs w:val="24"/>
        </w:rPr>
        <w:t>tavsiye</w:t>
      </w:r>
      <w:r w:rsidR="00AA39C9">
        <w:rPr>
          <w:szCs w:val="24"/>
        </w:rPr>
        <w:t>,</w:t>
      </w:r>
      <w:r w:rsidR="0077439A">
        <w:rPr>
          <w:szCs w:val="24"/>
        </w:rPr>
        <w:t xml:space="preserve"> </w:t>
      </w:r>
      <w:r w:rsidR="00AA39C9">
        <w:rPr>
          <w:szCs w:val="24"/>
        </w:rPr>
        <w:t xml:space="preserve"> bu süreci</w:t>
      </w:r>
      <w:r w:rsidR="00BF66EB">
        <w:rPr>
          <w:szCs w:val="24"/>
        </w:rPr>
        <w:t xml:space="preserve"> kristalize eden bir söylem olarak dikkat çeker</w:t>
      </w:r>
      <w:r w:rsidR="0077439A">
        <w:rPr>
          <w:szCs w:val="24"/>
        </w:rPr>
        <w:t>.</w:t>
      </w:r>
      <w:r w:rsidR="0077439A">
        <w:rPr>
          <w:rStyle w:val="Funotenzeichen"/>
          <w:szCs w:val="24"/>
        </w:rPr>
        <w:footnoteReference w:id="45"/>
      </w:r>
      <w:r w:rsidR="0077439A">
        <w:rPr>
          <w:szCs w:val="24"/>
        </w:rPr>
        <w:t xml:space="preserve"> </w:t>
      </w:r>
      <w:r w:rsidR="007146DA">
        <w:t xml:space="preserve">Nitekim </w:t>
      </w:r>
      <w:r w:rsidR="008A4467">
        <w:t>ilk defa AYM’nin verdiği Twitter kararını eleştirmek amacıyla kullanıl</w:t>
      </w:r>
      <w:r w:rsidR="008C7DED">
        <w:t>an</w:t>
      </w:r>
      <w:r w:rsidR="008A4467">
        <w:t xml:space="preserve"> “yerli ve milli”nin</w:t>
      </w:r>
      <w:r w:rsidR="00570AD4">
        <w:rPr>
          <w:rStyle w:val="Funotenzeichen"/>
        </w:rPr>
        <w:footnoteReference w:id="46"/>
      </w:r>
      <w:r w:rsidR="008A4467">
        <w:t xml:space="preserve"> yanı sıra “beka”,</w:t>
      </w:r>
      <w:r w:rsidR="00E02275">
        <w:rPr>
          <w:rStyle w:val="Funotenzeichen"/>
        </w:rPr>
        <w:footnoteReference w:id="47"/>
      </w:r>
      <w:r w:rsidR="008A4467">
        <w:t xml:space="preserve"> </w:t>
      </w:r>
      <w:r w:rsidR="00964EFE">
        <w:t xml:space="preserve">2013 yılından itibaren </w:t>
      </w:r>
      <w:r w:rsidR="008A4467">
        <w:t>siyasi</w:t>
      </w:r>
      <w:r w:rsidR="00964EFE">
        <w:t xml:space="preserve"> iktidarın</w:t>
      </w:r>
      <w:r w:rsidR="008A4467">
        <w:t xml:space="preserve"> söylem</w:t>
      </w:r>
      <w:r w:rsidR="00964EFE">
        <w:t>ler</w:t>
      </w:r>
      <w:r w:rsidR="008A4467">
        <w:t>in</w:t>
      </w:r>
      <w:r w:rsidR="00964EFE">
        <w:t>in</w:t>
      </w:r>
      <w:r w:rsidR="008A4467">
        <w:t xml:space="preserve"> başat kavramları olarak </w:t>
      </w:r>
      <w:r w:rsidR="003E7748">
        <w:t xml:space="preserve">öne </w:t>
      </w:r>
      <w:r w:rsidR="008C7DED">
        <w:t>çıkar</w:t>
      </w:r>
      <w:r w:rsidR="008A4467">
        <w:t xml:space="preserve">. </w:t>
      </w:r>
    </w:p>
    <w:p w:rsidR="00320B41" w:rsidRDefault="0004683B" w:rsidP="00933C1B">
      <w:pPr>
        <w:spacing w:after="120" w:line="360" w:lineRule="auto"/>
      </w:pPr>
      <w:r w:rsidRPr="008A4467">
        <w:t xml:space="preserve">Beka </w:t>
      </w:r>
      <w:r>
        <w:t xml:space="preserve">kavramı, hukuki sınırların </w:t>
      </w:r>
      <w:r w:rsidR="008A4467">
        <w:t>geçersizleştirilmesi açısından önem taşır. B</w:t>
      </w:r>
      <w:r>
        <w:t xml:space="preserve">ekanın tehdit altında olması, bu tehdidin giderilmesi için kullanılacak her türlü aracın meşru olduğuna dair vurguyu içerir. </w:t>
      </w:r>
      <w:r w:rsidR="008A4467" w:rsidRPr="008A4467">
        <w:t>Yerli ve milli</w:t>
      </w:r>
      <w:r w:rsidR="009D58EB">
        <w:t xml:space="preserve"> söylemi ise</w:t>
      </w:r>
      <w:r>
        <w:t xml:space="preserve"> bir yandan</w:t>
      </w:r>
      <w:r w:rsidR="009D58EB">
        <w:t>, insan hakları hukukunun uluslararası ölçütlerine uygun, fakat</w:t>
      </w:r>
      <w:r>
        <w:t xml:space="preserve"> siyasi iktidarın hoşuna gitmeyen kararların gayri milli olarak eleştirilerek, yargı kurumunun disipline edilmesi sağlar, diğer yandan otoriter yargıçların, var olan hukuk kurallarını sınırsız bir yorum ile aşarak muhaliflerin özgürlüklerini kısıtlamasına imkân tanır. </w:t>
      </w:r>
      <w:r w:rsidR="008A4467">
        <w:t>Her iki kavram, var olan hukuk kurallarının değiştirilmesine gerek olmadan, beka ya da milli değerleri koruyacak şekilde uygulanmasına ve hatta yeri geldiğinde uygulanmamasına zemin hazırlar.</w:t>
      </w:r>
      <w:r w:rsidR="00F7572F">
        <w:t xml:space="preserve"> </w:t>
      </w:r>
      <w:r w:rsidR="008A4467">
        <w:t>Bu</w:t>
      </w:r>
      <w:r w:rsidR="008C7DED">
        <w:t xml:space="preserve"> durum</w:t>
      </w:r>
      <w:r w:rsidR="008A4467">
        <w:t>, hukuk kurallarının bizatihi varlığının ve açıklık, öngörülebilirlik ya da belirli usullere göre değiştirilme gibi</w:t>
      </w:r>
      <w:r w:rsidR="00B6543F">
        <w:t xml:space="preserve"> şekli özelliklerinin</w:t>
      </w:r>
      <w:r w:rsidR="008A4467">
        <w:t xml:space="preserve"> siyasi iktidarı kullananları sın</w:t>
      </w:r>
      <w:r w:rsidR="00B6543F">
        <w:t>ırlandırma işlevini ortadan kaldırır. S</w:t>
      </w:r>
      <w:r>
        <w:t xml:space="preserve">on dönemde </w:t>
      </w:r>
      <w:r w:rsidR="00B6543F">
        <w:t>milli değerlerle ya da bekayla ilişkilendirilen Cumhuriyet, Barış Akademisyenleri,</w:t>
      </w:r>
      <w:r w:rsidR="003E7748">
        <w:t xml:space="preserve"> Büyükada,</w:t>
      </w:r>
      <w:r w:rsidR="00B6543F">
        <w:t xml:space="preserve"> Gezi ya da Oda TV</w:t>
      </w:r>
      <w:r w:rsidR="00B805BA">
        <w:t xml:space="preserve"> gibi</w:t>
      </w:r>
      <w:r>
        <w:t xml:space="preserve"> davalarda hazırlanan iddianameler</w:t>
      </w:r>
      <w:r w:rsidR="00B660D7">
        <w:t>de</w:t>
      </w:r>
      <w:r>
        <w:t xml:space="preserve"> ya da </w:t>
      </w:r>
      <w:r w:rsidR="00B660D7">
        <w:t xml:space="preserve">yerel mahkemeler tarafından </w:t>
      </w:r>
      <w:r>
        <w:t>verilen kararlar</w:t>
      </w:r>
      <w:r w:rsidR="00B6543F">
        <w:t xml:space="preserve">da bu yaklaşımın izlerini görmek olanaklı. Bu çerçevede İHAM’ın tarihte ilk kez </w:t>
      </w:r>
      <w:r w:rsidR="00964EFE">
        <w:t>Demirtaş</w:t>
      </w:r>
      <w:r w:rsidR="00570AD4">
        <w:rPr>
          <w:rStyle w:val="Funotenzeichen"/>
        </w:rPr>
        <w:footnoteReference w:id="48"/>
      </w:r>
      <w:r w:rsidR="00964EFE">
        <w:t xml:space="preserve"> ve Kavala</w:t>
      </w:r>
      <w:r w:rsidR="00570AD4">
        <w:rPr>
          <w:rStyle w:val="Funotenzeichen"/>
        </w:rPr>
        <w:footnoteReference w:id="49"/>
      </w:r>
      <w:r w:rsidR="00B6543F">
        <w:t xml:space="preserve"> başvurularında, Türkiye’nin belirli bir hakkı ihlal ettiği saptamasının ötesine geçerek, </w:t>
      </w:r>
      <w:r w:rsidR="00B6543F">
        <w:lastRenderedPageBreak/>
        <w:t xml:space="preserve">siyasi </w:t>
      </w:r>
      <w:r w:rsidR="00B805BA">
        <w:t>saiklerle hukuku araçsallaştır</w:t>
      </w:r>
      <w:r w:rsidR="00B6543F">
        <w:t>dığın</w:t>
      </w:r>
      <w:r w:rsidR="00964EFE">
        <w:t>ı tespit etmesi</w:t>
      </w:r>
      <w:r w:rsidR="008C7DED">
        <w:t xml:space="preserve"> de bir tesadüf </w:t>
      </w:r>
      <w:r w:rsidR="00B805BA">
        <w:t>değildir</w:t>
      </w:r>
      <w:r w:rsidR="00B6543F">
        <w:t>.</w:t>
      </w:r>
      <w:r w:rsidR="00B660D7">
        <w:t xml:space="preserve"> Bu tabloya,</w:t>
      </w:r>
      <w:r w:rsidR="00B41F48">
        <w:t xml:space="preserve"> </w:t>
      </w:r>
      <w:r w:rsidR="00911D82">
        <w:t>bazı bireysel</w:t>
      </w:r>
      <w:r w:rsidR="00B41F48">
        <w:t xml:space="preserve"> başvurularda</w:t>
      </w:r>
      <w:r w:rsidR="00911D82">
        <w:t xml:space="preserve"> sonucunda</w:t>
      </w:r>
      <w:r w:rsidR="00B41F48">
        <w:t xml:space="preserve"> Anayasa Mahkemesinin anayasanın ihlal edildiğine hükmettiği</w:t>
      </w:r>
      <w:r w:rsidR="00BF66EB">
        <w:t xml:space="preserve"> kararlarına, anayasanın açık hükmüne rağmen</w:t>
      </w:r>
      <w:r w:rsidR="00B41F48">
        <w:t xml:space="preserve"> </w:t>
      </w:r>
      <w:r w:rsidR="00BF66EB">
        <w:t>yerel ma</w:t>
      </w:r>
      <w:r w:rsidR="00B660D7">
        <w:t>hkemeler tarafından</w:t>
      </w:r>
      <w:r w:rsidR="00B41F48">
        <w:t xml:space="preserve"> ısrarla</w:t>
      </w:r>
      <w:r w:rsidR="00B660D7">
        <w:t xml:space="preserve"> direnilmesi de</w:t>
      </w:r>
      <w:r w:rsidR="00BF66EB">
        <w:t xml:space="preserve"> </w:t>
      </w:r>
      <w:r w:rsidR="00B660D7">
        <w:t>eklenebilir</w:t>
      </w:r>
      <w:r w:rsidR="00BF66EB">
        <w:t>.</w:t>
      </w:r>
      <w:r w:rsidR="00B660D7">
        <w:rPr>
          <w:rStyle w:val="Funotenzeichen"/>
        </w:rPr>
        <w:footnoteReference w:id="50"/>
      </w:r>
    </w:p>
    <w:p w:rsidR="00846783" w:rsidRPr="00616959" w:rsidRDefault="00846783" w:rsidP="00D46F07">
      <w:pPr>
        <w:pStyle w:val="Listenabsatz"/>
        <w:numPr>
          <w:ilvl w:val="0"/>
          <w:numId w:val="1"/>
        </w:numPr>
        <w:spacing w:after="120" w:line="360" w:lineRule="auto"/>
        <w:rPr>
          <w:b/>
        </w:rPr>
      </w:pPr>
      <w:r w:rsidRPr="00616959">
        <w:rPr>
          <w:b/>
        </w:rPr>
        <w:t>Anayasızlaştırma Süreci ve Anayasa Değişikliği</w:t>
      </w:r>
    </w:p>
    <w:p w:rsidR="00AF0261" w:rsidRDefault="007060CE" w:rsidP="00933C1B">
      <w:pPr>
        <w:spacing w:after="120" w:line="360" w:lineRule="auto"/>
      </w:pPr>
      <w:r>
        <w:t xml:space="preserve">2013 yılından itibaren </w:t>
      </w:r>
      <w:r w:rsidR="00B6543F">
        <w:t>hukuka uygunluk vaadinin aşınması</w:t>
      </w:r>
      <w:r w:rsidR="003E7748">
        <w:t>nın etkisi</w:t>
      </w:r>
      <w:r w:rsidR="00B6543F">
        <w:t>,</w:t>
      </w:r>
      <w:r w:rsidR="00964EFE">
        <w:t xml:space="preserve"> hukuk düzeninin kaynağını</w:t>
      </w:r>
      <w:r w:rsidR="003E7748">
        <w:t xml:space="preserve"> ve çerçevesini</w:t>
      </w:r>
      <w:r w:rsidR="00B660D7">
        <w:t xml:space="preserve"> oluşturan </w:t>
      </w:r>
      <w:r w:rsidR="00964EFE">
        <w:t>en üst düzeydeki norm olan</w:t>
      </w:r>
      <w:r w:rsidR="00B6543F">
        <w:t xml:space="preserve"> anayasa</w:t>
      </w:r>
      <w:r w:rsidR="0050792E">
        <w:t xml:space="preserve"> üzerinde de </w:t>
      </w:r>
      <w:r w:rsidR="003E7748">
        <w:t>gözlemlenebilir</w:t>
      </w:r>
      <w:r w:rsidR="00B6543F">
        <w:t>.</w:t>
      </w:r>
      <w:r w:rsidR="00C74E28">
        <w:t xml:space="preserve"> </w:t>
      </w:r>
      <w:r w:rsidR="00B660D7">
        <w:t>“</w:t>
      </w:r>
      <w:r w:rsidR="00191387">
        <w:t>A</w:t>
      </w:r>
      <w:r w:rsidR="00AF0261">
        <w:t>nayasasızlaştırma</w:t>
      </w:r>
      <w:r w:rsidR="00B660D7">
        <w:t>”</w:t>
      </w:r>
      <w:r w:rsidR="00AF0261">
        <w:t xml:space="preserve"> olarak kavramsallaştırılan süre</w:t>
      </w:r>
      <w:r w:rsidR="0040356E">
        <w:t>cin en çarpıcı özelliği</w:t>
      </w:r>
      <w:r w:rsidR="00B41F48">
        <w:t>,</w:t>
      </w:r>
      <w:r w:rsidR="00AF0261">
        <w:t xml:space="preserve"> anayasal normlar</w:t>
      </w:r>
      <w:r w:rsidR="0040356E">
        <w:t>ın</w:t>
      </w:r>
      <w:r w:rsidR="00964EFE">
        <w:t xml:space="preserve"> </w:t>
      </w:r>
      <w:r w:rsidR="00964EFE" w:rsidRPr="00B41F48">
        <w:rPr>
          <w:i/>
        </w:rPr>
        <w:t>fiilen</w:t>
      </w:r>
      <w:r w:rsidR="00AF0261">
        <w:t xml:space="preserve"> etkisiz kılınm</w:t>
      </w:r>
      <w:r w:rsidR="00B41F48">
        <w:t>asıdır</w:t>
      </w:r>
      <w:r w:rsidR="00AF0261">
        <w:t xml:space="preserve">. </w:t>
      </w:r>
      <w:r w:rsidR="00964EFE">
        <w:t xml:space="preserve">1982 </w:t>
      </w:r>
      <w:r w:rsidR="00AF0261">
        <w:t>Anayasa</w:t>
      </w:r>
      <w:r w:rsidR="00964EFE">
        <w:t>sı uyarı</w:t>
      </w:r>
      <w:r w:rsidR="007A2605">
        <w:t>n</w:t>
      </w:r>
      <w:r w:rsidR="00964EFE">
        <w:t>ca</w:t>
      </w:r>
      <w:r w:rsidR="00AF0261">
        <w:t xml:space="preserve"> </w:t>
      </w:r>
      <w:r w:rsidR="00964EFE">
        <w:t>ancak</w:t>
      </w:r>
      <w:r w:rsidR="00AF0261">
        <w:t xml:space="preserve"> olağanüstü hallerde ilan edilebilecek sokağa çıkma yasağının, olağan rejim sü</w:t>
      </w:r>
      <w:r w:rsidR="00B660D7">
        <w:t>rerken ilanı; milletvekilleri</w:t>
      </w:r>
      <w:r w:rsidR="00541E52">
        <w:t>nin</w:t>
      </w:r>
      <w:r w:rsidR="00AF0261">
        <w:t xml:space="preserve"> dokunulmazlıklarının anayasal güvencelere aykırı </w:t>
      </w:r>
      <w:r w:rsidR="002E7331">
        <w:t>biçimde</w:t>
      </w:r>
      <w:r w:rsidR="00AF0261">
        <w:t xml:space="preserve"> bir anayasa değişikliği ile kaldırılması ve cumhurbaşkanının, anayasanın öngördüğü parlamenter sisteme uygun </w:t>
      </w:r>
      <w:r w:rsidR="002E7331">
        <w:t>biçimde</w:t>
      </w:r>
      <w:r w:rsidR="00AF0261">
        <w:t>, tarafsız ve politika üstü sembolik bir figür olarak hareket etmek yerine fiilen hükümet başkan</w:t>
      </w:r>
      <w:r w:rsidR="002E7331">
        <w:t>lığını üstlenmesi</w:t>
      </w:r>
      <w:r w:rsidR="00AF0261">
        <w:t>, anayasayı etkisiz hale getiren örneklerden yalnızca bazıları</w:t>
      </w:r>
      <w:r w:rsidR="008C7DED">
        <w:t>dır</w:t>
      </w:r>
      <w:r w:rsidR="00AF0261">
        <w:t>.</w:t>
      </w:r>
      <w:r w:rsidR="0032194D">
        <w:rPr>
          <w:rStyle w:val="Funotenzeichen"/>
        </w:rPr>
        <w:footnoteReference w:id="51"/>
      </w:r>
      <w:r w:rsidR="00AF0261">
        <w:t xml:space="preserve"> </w:t>
      </w:r>
    </w:p>
    <w:p w:rsidR="0040356E" w:rsidRDefault="0032194D" w:rsidP="00933C1B">
      <w:pPr>
        <w:spacing w:after="120" w:line="360" w:lineRule="auto"/>
      </w:pPr>
      <w:r>
        <w:t>Anayasasızlaştırma, kurum ve kurallarıyla bir anayasal yönetimin,</w:t>
      </w:r>
      <w:r w:rsidR="00200400">
        <w:t xml:space="preserve"> bir başka ifadeyle hukukiliğin</w:t>
      </w:r>
      <w:r>
        <w:t xml:space="preserve"> siyasi rejimin meşruiyeti açısından önemini yitirmesi</w:t>
      </w:r>
      <w:r w:rsidR="00200400">
        <w:t>nin nihai aşamasını teşkil eder</w:t>
      </w:r>
      <w:r>
        <w:t>. Bu noktada siyasi iktidarın meşruiyeti</w:t>
      </w:r>
      <w:r w:rsidR="00AA2601">
        <w:t>nin</w:t>
      </w:r>
      <w:r>
        <w:t>, cumhurbaşkanının seçimler ara</w:t>
      </w:r>
      <w:r w:rsidR="00200400">
        <w:t xml:space="preserve">cılığıyla halk </w:t>
      </w:r>
      <w:r w:rsidR="00AA2601">
        <w:t>ile</w:t>
      </w:r>
      <w:r w:rsidR="00200400">
        <w:t xml:space="preserve"> kurduğu ve</w:t>
      </w:r>
      <w:r>
        <w:t xml:space="preserve"> seçimler arasında sessiz çoğunluğun onayıyla</w:t>
      </w:r>
      <w:r w:rsidR="00200400">
        <w:t xml:space="preserve"> sürdü</w:t>
      </w:r>
      <w:r w:rsidR="00A70282">
        <w:t>rdü</w:t>
      </w:r>
      <w:r w:rsidR="00200400">
        <w:t>ğü varsayılan</w:t>
      </w:r>
      <w:r w:rsidR="00BA6473">
        <w:t xml:space="preserve"> bir ilişkiye indirgenmeye çalışıldığı</w:t>
      </w:r>
      <w:r w:rsidR="00AA2601">
        <w:t xml:space="preserve"> gözlemlenir</w:t>
      </w:r>
      <w:r>
        <w:t>.</w:t>
      </w:r>
      <w:r w:rsidR="00FF5DEC">
        <w:rPr>
          <w:rStyle w:val="Funotenzeichen"/>
        </w:rPr>
        <w:footnoteReference w:id="52"/>
      </w:r>
      <w:r w:rsidR="00CD1A7D">
        <w:t xml:space="preserve"> Hukuk kurallarına bağlılığın yerini siyasi liderin irad</w:t>
      </w:r>
      <w:r w:rsidR="0040356E">
        <w:t>esine sadakatin aldığı bu süreç</w:t>
      </w:r>
      <w:r w:rsidR="00200400">
        <w:t xml:space="preserve"> önce fiilen</w:t>
      </w:r>
      <w:r w:rsidR="007A2605">
        <w:t>,</w:t>
      </w:r>
      <w:r w:rsidR="00200400">
        <w:t xml:space="preserve"> ardından</w:t>
      </w:r>
      <w:r w:rsidR="00CD1A7D">
        <w:t xml:space="preserve"> 2017 yılında gerçekleşen anayasa değişikliği</w:t>
      </w:r>
      <w:r w:rsidR="00CE234A">
        <w:t>yle</w:t>
      </w:r>
      <w:r w:rsidR="00200400">
        <w:t>,</w:t>
      </w:r>
      <w:r w:rsidR="00CD1A7D">
        <w:t xml:space="preserve"> siyasi iktidarın </w:t>
      </w:r>
      <w:r w:rsidR="0040356E">
        <w:t xml:space="preserve">cumhurbaşkanının </w:t>
      </w:r>
      <w:r w:rsidR="00CD1A7D">
        <w:t>şahsın</w:t>
      </w:r>
      <w:r w:rsidR="00AA2601">
        <w:t>da temerküz etmesiyle tamamlanmıştır</w:t>
      </w:r>
      <w:r w:rsidR="00CD1A7D">
        <w:t>.</w:t>
      </w:r>
      <w:r w:rsidR="00FF5DEC">
        <w:t xml:space="preserve"> </w:t>
      </w:r>
      <w:r w:rsidR="00AA2601">
        <w:t>2017 anayasa değiş</w:t>
      </w:r>
      <w:r w:rsidR="00345F27">
        <w:t>i</w:t>
      </w:r>
      <w:r w:rsidR="00AA2601">
        <w:t>kliği</w:t>
      </w:r>
      <w:r w:rsidR="00CD1A7D">
        <w:t>, Tanör’ün</w:t>
      </w:r>
      <w:r w:rsidR="00200400">
        <w:t>,</w:t>
      </w:r>
      <w:r w:rsidR="00CD1A7D">
        <w:t xml:space="preserve"> 90’lardaki varlığını</w:t>
      </w:r>
      <w:r w:rsidR="00200400">
        <w:t>, tarihsel birikime dayalı</w:t>
      </w:r>
      <w:r w:rsidR="00CD1A7D">
        <w:t xml:space="preserve"> bir kazanım olarak değerlendirdiği</w:t>
      </w:r>
      <w:r w:rsidR="001C0C83">
        <w:t>,</w:t>
      </w:r>
      <w:r w:rsidR="00CD1A7D">
        <w:t xml:space="preserve"> kuvvetler ayr</w:t>
      </w:r>
      <w:r w:rsidR="008C7DED">
        <w:t>ılığı ve parlamenter rejimin</w:t>
      </w:r>
      <w:r w:rsidR="00345F27">
        <w:t xml:space="preserve"> de</w:t>
      </w:r>
      <w:r w:rsidR="00CD1A7D">
        <w:t xml:space="preserve"> </w:t>
      </w:r>
      <w:r w:rsidR="00200400">
        <w:t xml:space="preserve">ortadan </w:t>
      </w:r>
      <w:r w:rsidR="00CE234A">
        <w:t>kalkışına yol açmıştır</w:t>
      </w:r>
      <w:r w:rsidR="00200400">
        <w:t>.</w:t>
      </w:r>
      <w:r w:rsidR="00244DDD">
        <w:t xml:space="preserve"> Bu doğrultuda Selin Esen</w:t>
      </w:r>
      <w:r w:rsidR="00CE234A">
        <w:t>’in</w:t>
      </w:r>
      <w:r w:rsidR="00244DDD">
        <w:t xml:space="preserve"> anayasa değişikliğini</w:t>
      </w:r>
      <w:r w:rsidR="00CE234A">
        <w:t>n</w:t>
      </w:r>
      <w:r w:rsidR="00244DDD">
        <w:t xml:space="preserve">, “Türkiye’nin 19. yüzyıldan bu </w:t>
      </w:r>
      <w:r w:rsidR="00244DDD">
        <w:lastRenderedPageBreak/>
        <w:t>yana biriktirdiği demokratik ve anayasal kazanımlarından vazgeçmesi”</w:t>
      </w:r>
      <w:r w:rsidR="00CE234A">
        <w:t xml:space="preserve"> anlamına geldiğini</w:t>
      </w:r>
      <w:r w:rsidR="001C0C83">
        <w:t>,</w:t>
      </w:r>
      <w:r w:rsidR="001C0C83">
        <w:rPr>
          <w:rStyle w:val="Funotenzeichen"/>
        </w:rPr>
        <w:footnoteReference w:id="53"/>
      </w:r>
      <w:r w:rsidR="001C0C83">
        <w:t xml:space="preserve"> İbrahim Kaboğlu</w:t>
      </w:r>
      <w:r w:rsidR="00CE234A">
        <w:t>’nun</w:t>
      </w:r>
      <w:r w:rsidR="001C0C83">
        <w:t xml:space="preserve"> da “200 yıllık fikri çalışmaları, eylemsel mücadeleleri ve demokratik-anayasal birikimi küllendirecek” bir gelişme</w:t>
      </w:r>
      <w:r w:rsidR="00244DDD">
        <w:t xml:space="preserve"> ol</w:t>
      </w:r>
      <w:r w:rsidR="00CE234A">
        <w:t>duğunu belirtmesi</w:t>
      </w:r>
      <w:r w:rsidR="00244DDD">
        <w:t xml:space="preserve"> </w:t>
      </w:r>
      <w:r w:rsidR="00CE234A">
        <w:t>dikkate değerdir</w:t>
      </w:r>
      <w:r w:rsidR="00244DDD">
        <w:t>.</w:t>
      </w:r>
      <w:r w:rsidR="00244DDD">
        <w:rPr>
          <w:rStyle w:val="Funotenzeichen"/>
        </w:rPr>
        <w:footnoteReference w:id="54"/>
      </w:r>
      <w:r w:rsidR="00244DDD">
        <w:t xml:space="preserve">   </w:t>
      </w:r>
    </w:p>
    <w:p w:rsidR="001E2A65" w:rsidRDefault="00345F27" w:rsidP="00933C1B">
      <w:pPr>
        <w:spacing w:after="120" w:line="360" w:lineRule="auto"/>
      </w:pPr>
      <w:r>
        <w:t>Referandum sonucunda yürürlüğe giren</w:t>
      </w:r>
      <w:r w:rsidR="00837C01">
        <w:t xml:space="preserve"> ve</w:t>
      </w:r>
      <w:r>
        <w:t xml:space="preserve"> </w:t>
      </w:r>
      <w:r w:rsidR="00837C01">
        <w:t>“</w:t>
      </w:r>
      <w:r w:rsidR="0040356E">
        <w:t>Türk tipi</w:t>
      </w:r>
      <w:r w:rsidR="00837C01">
        <w:t>” sıfatıyla özgünlüğü vurgulanan</w:t>
      </w:r>
      <w:r w:rsidR="00837C01">
        <w:rPr>
          <w:rStyle w:val="Funotenzeichen"/>
        </w:rPr>
        <w:footnoteReference w:id="55"/>
      </w:r>
      <w:r w:rsidR="0040356E">
        <w:t xml:space="preserve"> başkanlık </w:t>
      </w:r>
      <w:r w:rsidR="00837C01">
        <w:t xml:space="preserve">benzeri </w:t>
      </w:r>
      <w:r w:rsidR="0040356E">
        <w:t>sisteminin ayırt edici özelliği, cezai açıdan</w:t>
      </w:r>
      <w:r w:rsidR="00393922">
        <w:t xml:space="preserve"> adeta</w:t>
      </w:r>
      <w:r w:rsidR="0040356E">
        <w:t xml:space="preserve"> sorumsuz konumda ve siyasi açıdan sınırsız yetkilere sahip bir başkanın varlığıdır.</w:t>
      </w:r>
      <w:r w:rsidR="00393922">
        <w:t xml:space="preserve"> Meclisin siyasi denetim yetkilerinin büyük ölçüde ortadan kaldırıldığı ve</w:t>
      </w:r>
      <w:r w:rsidR="0040356E">
        <w:t xml:space="preserve"> </w:t>
      </w:r>
      <w:r w:rsidR="00393922">
        <w:t>siyasi katılımın seçimler ve</w:t>
      </w:r>
      <w:r w:rsidR="00CD1A7D">
        <w:t xml:space="preserve"> referandumlar</w:t>
      </w:r>
      <w:r w:rsidR="00393922">
        <w:t>a indirgendiği</w:t>
      </w:r>
      <w:r w:rsidR="00BF66EB">
        <w:t xml:space="preserve"> yeni rejimde</w:t>
      </w:r>
      <w:r w:rsidR="0040356E">
        <w:t xml:space="preserve"> </w:t>
      </w:r>
      <w:r>
        <w:t>cumhur</w:t>
      </w:r>
      <w:r w:rsidR="0040356E">
        <w:t>başkan</w:t>
      </w:r>
      <w:r>
        <w:t>ı</w:t>
      </w:r>
      <w:r w:rsidR="00BF66EB">
        <w:t>,</w:t>
      </w:r>
      <w:r w:rsidR="0040356E">
        <w:t xml:space="preserve"> </w:t>
      </w:r>
      <w:r w:rsidR="00474D18">
        <w:t>anayasalı yönetimin merkezini oluşturmaktadır</w:t>
      </w:r>
      <w:r w:rsidR="0040356E">
        <w:t xml:space="preserve">. </w:t>
      </w:r>
      <w:r w:rsidR="00474D18">
        <w:t xml:space="preserve">Buradaki anayasalı yönetim vurgusu </w:t>
      </w:r>
      <w:r w:rsidR="003E7748">
        <w:t>bilinçlidir</w:t>
      </w:r>
      <w:r w:rsidR="00474D18">
        <w:t>, çünkü a</w:t>
      </w:r>
      <w:r w:rsidR="00837C01">
        <w:t>nayasal</w:t>
      </w:r>
      <w:r w:rsidR="0040356E">
        <w:t xml:space="preserve"> </w:t>
      </w:r>
      <w:r w:rsidR="00474D18">
        <w:t>yönetim</w:t>
      </w:r>
      <w:r w:rsidR="0040356E">
        <w:t xml:space="preserve"> siyasi iktidarın sınırlandırılması olarak anla</w:t>
      </w:r>
      <w:r w:rsidR="00474D18">
        <w:t>şıldığında</w:t>
      </w:r>
      <w:r w:rsidR="0040356E">
        <w:t>, bu</w:t>
      </w:r>
      <w:r w:rsidR="00474D18">
        <w:t xml:space="preserve"> tür</w:t>
      </w:r>
      <w:r w:rsidR="0040356E">
        <w:t xml:space="preserve"> sınırların cumhurbaşkanı açısından </w:t>
      </w:r>
      <w:r w:rsidR="00474D18">
        <w:t xml:space="preserve">varlığını saptamak olanaklı </w:t>
      </w:r>
      <w:r w:rsidR="003E7748">
        <w:t>gözükmemektedir</w:t>
      </w:r>
      <w:r w:rsidR="00474D18">
        <w:t xml:space="preserve">. </w:t>
      </w:r>
      <w:r w:rsidR="0040356E" w:rsidRPr="00FC60D9">
        <w:t xml:space="preserve">Yürütme </w:t>
      </w:r>
      <w:r w:rsidR="00474D18">
        <w:t>kuvvetinin</w:t>
      </w:r>
      <w:r w:rsidR="0040356E" w:rsidRPr="00FC60D9">
        <w:t xml:space="preserve"> tek başına hâkimi konumunda olan </w:t>
      </w:r>
      <w:r w:rsidR="00837C01">
        <w:t>cumhurbaşkanı</w:t>
      </w:r>
      <w:r w:rsidR="0040356E" w:rsidRPr="00FC60D9">
        <w:t xml:space="preserve">, karar ve kararnameler aracılığıyla </w:t>
      </w:r>
      <w:r w:rsidR="0040356E" w:rsidRPr="00393922">
        <w:t xml:space="preserve">hukuku yaratma </w:t>
      </w:r>
      <w:r w:rsidR="00837C01">
        <w:t>gücüne</w:t>
      </w:r>
      <w:r w:rsidR="0040356E" w:rsidRPr="00FC60D9">
        <w:t xml:space="preserve"> sahiptir ve HSK ve AYM üyelerini </w:t>
      </w:r>
      <w:r w:rsidR="003E7748">
        <w:t>belirleme</w:t>
      </w:r>
      <w:r w:rsidR="0040356E" w:rsidRPr="00FC60D9">
        <w:t xml:space="preserve"> </w:t>
      </w:r>
      <w:r w:rsidR="002E7331">
        <w:t>yetkisiyle</w:t>
      </w:r>
      <w:r w:rsidR="0040356E" w:rsidRPr="00FC60D9">
        <w:t xml:space="preserve"> </w:t>
      </w:r>
      <w:r w:rsidR="0040356E" w:rsidRPr="00393922">
        <w:t>yargı</w:t>
      </w:r>
      <w:r w:rsidR="00474D18" w:rsidRPr="00393922">
        <w:t xml:space="preserve"> kuvveti</w:t>
      </w:r>
      <w:r w:rsidR="003E7748">
        <w:t xml:space="preserve">ni şekillendirme </w:t>
      </w:r>
      <w:r w:rsidR="00836EE0">
        <w:t>kud</w:t>
      </w:r>
      <w:r w:rsidR="00837C01">
        <w:t>retini</w:t>
      </w:r>
      <w:r w:rsidR="003E7748">
        <w:t xml:space="preserve"> elinde bulundurmaktadır</w:t>
      </w:r>
      <w:r w:rsidR="00393922">
        <w:t xml:space="preserve">. </w:t>
      </w:r>
      <w:r w:rsidR="003E7748">
        <w:t xml:space="preserve">Özellikle </w:t>
      </w:r>
      <w:r w:rsidR="00464CEA">
        <w:t>c</w:t>
      </w:r>
      <w:r w:rsidR="00393922">
        <w:t xml:space="preserve">umhurbaşkanlığı </w:t>
      </w:r>
      <w:r w:rsidR="008D5D80">
        <w:t xml:space="preserve">işlem ve düzenlemelerini denetleyecek olan Danıştay ve AYM’nin üye kompozisyonunun şekillenmesinde </w:t>
      </w:r>
      <w:r w:rsidR="00464CEA">
        <w:t>cumhurbaşkanı</w:t>
      </w:r>
      <w:r w:rsidR="008D5D80">
        <w:t xml:space="preserve">nın belirleyici konumda olması, </w:t>
      </w:r>
      <w:r w:rsidR="00464CEA">
        <w:t>cumhurbaşkanı</w:t>
      </w:r>
      <w:r w:rsidR="003E7748">
        <w:t xml:space="preserve"> üzerindeki </w:t>
      </w:r>
      <w:r w:rsidR="008D5D80">
        <w:t>yargısal denetimin etkinliğini de göreceli hale getirmiştir.</w:t>
      </w:r>
      <w:r w:rsidR="008D1452">
        <w:t xml:space="preserve"> Bu açıdan, son dönemde kritik davalarda önemli rol oynayan İstanbul Başsavcı</w:t>
      </w:r>
      <w:r w:rsidR="002C15C6">
        <w:t>sı</w:t>
      </w:r>
      <w:r w:rsidR="008D1452">
        <w:t>nın, önce Yargıtay üyeliğinde, ardından</w:t>
      </w:r>
      <w:r w:rsidR="00836EE0">
        <w:t xml:space="preserve"> çok</w:t>
      </w:r>
      <w:r w:rsidR="008D1452">
        <w:t xml:space="preserve"> kısa bir süre içinde Anayasa Mahkemesi’ne atanması</w:t>
      </w:r>
      <w:r w:rsidR="002C15C6">
        <w:t>,</w:t>
      </w:r>
      <w:r w:rsidR="008D1452">
        <w:t xml:space="preserve"> çarpıcı bir örnek teşkil eder.</w:t>
      </w:r>
      <w:r w:rsidR="008D1452">
        <w:rPr>
          <w:rStyle w:val="Funotenzeichen"/>
        </w:rPr>
        <w:footnoteReference w:id="56"/>
      </w:r>
      <w:r w:rsidR="008D5D80">
        <w:t xml:space="preserve"> </w:t>
      </w:r>
      <w:r w:rsidR="002C15C6">
        <w:t>Ayrıca</w:t>
      </w:r>
      <w:r w:rsidR="007D6660">
        <w:t>,</w:t>
      </w:r>
      <w:r w:rsidR="0040356E">
        <w:t xml:space="preserve"> gerekliliğine ve ilanına</w:t>
      </w:r>
      <w:r w:rsidR="0040356E" w:rsidRPr="00FC60D9">
        <w:t xml:space="preserve"> </w:t>
      </w:r>
      <w:r w:rsidR="0040356E">
        <w:t>t</w:t>
      </w:r>
      <w:r w:rsidR="0040356E" w:rsidRPr="00FC60D9">
        <w:t>ek başına</w:t>
      </w:r>
      <w:r w:rsidR="0040356E">
        <w:t xml:space="preserve"> karar verebileceği</w:t>
      </w:r>
      <w:r w:rsidR="0040356E" w:rsidRPr="00FC60D9">
        <w:t xml:space="preserve"> </w:t>
      </w:r>
      <w:r w:rsidR="00AB1462">
        <w:t>olağanüstü hal</w:t>
      </w:r>
      <w:r w:rsidR="0040356E" w:rsidRPr="00FC60D9">
        <w:t xml:space="preserve"> sürecinde, </w:t>
      </w:r>
      <w:r w:rsidR="0073477D">
        <w:t>cumhur</w:t>
      </w:r>
      <w:r w:rsidR="0040356E" w:rsidRPr="00FC60D9">
        <w:t>başkanın</w:t>
      </w:r>
      <w:r w:rsidR="0073477D">
        <w:t>ın</w:t>
      </w:r>
      <w:r w:rsidR="0040356E">
        <w:t xml:space="preserve"> </w:t>
      </w:r>
      <w:r w:rsidR="00AB1462">
        <w:t>olağanüstü hal</w:t>
      </w:r>
      <w:r w:rsidR="0040356E">
        <w:t xml:space="preserve"> kararnameleri aracılığıyla </w:t>
      </w:r>
      <w:r w:rsidR="00C1261C">
        <w:t>alabileceği tedbirlerin</w:t>
      </w:r>
      <w:r w:rsidR="0040356E" w:rsidRPr="00FC60D9">
        <w:t xml:space="preserve">, AYM’nin yakın dönem içtihadı nedeniyle </w:t>
      </w:r>
      <w:r w:rsidR="00C1261C">
        <w:t>herhangi bir sınırı da bulunmamaktadır.</w:t>
      </w:r>
      <w:r w:rsidR="00327E8C">
        <w:rPr>
          <w:rStyle w:val="Funotenzeichen"/>
        </w:rPr>
        <w:footnoteReference w:id="57"/>
      </w:r>
      <w:r w:rsidR="00327E8C">
        <w:t xml:space="preserve"> </w:t>
      </w:r>
      <w:r w:rsidR="00D66047">
        <w:t>Ece Göztepe’nin “mutlaki cumhurbaşkanlığı”</w:t>
      </w:r>
      <w:r w:rsidR="00837C01">
        <w:rPr>
          <w:rStyle w:val="Funotenzeichen"/>
        </w:rPr>
        <w:footnoteReference w:id="58"/>
      </w:r>
      <w:r w:rsidR="00D66047">
        <w:t xml:space="preserve"> olarak nitelendirdiği bu sistemde artık, </w:t>
      </w:r>
      <w:r w:rsidR="00DC2A06">
        <w:t xml:space="preserve">Serap </w:t>
      </w:r>
      <w:r w:rsidR="00DC2A06">
        <w:lastRenderedPageBreak/>
        <w:t xml:space="preserve">Yazıcı’nın </w:t>
      </w:r>
      <w:r w:rsidR="00D66047">
        <w:t>vurguladığı üzere</w:t>
      </w:r>
      <w:r w:rsidR="00DC2A06">
        <w:t xml:space="preserve"> cumhurbaşkanı “ülkenin kaderini tek başına tayin edecek bir aktör haline gelmiştir.”</w:t>
      </w:r>
      <w:r w:rsidR="00DC2A06">
        <w:rPr>
          <w:rStyle w:val="Funotenzeichen"/>
        </w:rPr>
        <w:footnoteReference w:id="59"/>
      </w:r>
    </w:p>
    <w:p w:rsidR="00836EE0" w:rsidRDefault="00F214A8" w:rsidP="00855DD5">
      <w:pPr>
        <w:spacing w:after="120" w:line="360" w:lineRule="auto"/>
      </w:pPr>
      <w:r w:rsidRPr="00DC23E4">
        <w:t>Cumhurbaşkanının</w:t>
      </w:r>
      <w:r w:rsidR="00855DD5">
        <w:t xml:space="preserve"> otoritesini adeta sınırsız kılan anayasal düzenin yanı sıra, yeni sistemin idari yapısı, siyasi</w:t>
      </w:r>
      <w:r w:rsidR="006E173E">
        <w:t xml:space="preserve"> otoritenin merkezileşmesini ve kişiselleşmesini tamamlayan </w:t>
      </w:r>
      <w:r w:rsidR="00855DD5">
        <w:t xml:space="preserve">ayrıntılar içerir. </w:t>
      </w:r>
      <w:r w:rsidR="007B7519" w:rsidRPr="00196A5E">
        <w:t>Valilerin</w:t>
      </w:r>
      <w:r w:rsidR="007B7519">
        <w:t>,</w:t>
      </w:r>
      <w:r w:rsidR="007B7519" w:rsidRPr="00196A5E">
        <w:t xml:space="preserve"> devletin ve hükümetin temsilci olma vasıflarının kaldırılarak, yalnızca cumhurbaşkanını temsil eden görevlilere dönüştürülmesi de bu açıdan dikkat çekici bir örnektir.</w:t>
      </w:r>
      <w:r w:rsidR="007B7519">
        <w:rPr>
          <w:rStyle w:val="Funotenzeichen"/>
        </w:rPr>
        <w:footnoteReference w:id="60"/>
      </w:r>
      <w:r w:rsidR="007B7519" w:rsidRPr="00196A5E">
        <w:t xml:space="preserve"> </w:t>
      </w:r>
      <w:r w:rsidR="00855DD5">
        <w:t>P</w:t>
      </w:r>
      <w:r w:rsidRPr="00DC23E4">
        <w:t>arlamento</w:t>
      </w:r>
      <w:r w:rsidR="00836EE0">
        <w:t>nun siyasi gücünü yitirmesinin yanı sıra</w:t>
      </w:r>
      <w:r w:rsidRPr="00DC23E4">
        <w:t xml:space="preserve">, </w:t>
      </w:r>
      <w:r w:rsidR="00836EE0">
        <w:t>resmi olarak kurul halinde karar alması öngörülen</w:t>
      </w:r>
      <w:r w:rsidRPr="00DC23E4">
        <w:t xml:space="preserve"> </w:t>
      </w:r>
      <w:r w:rsidR="00467DAC">
        <w:t>diğer siyasi</w:t>
      </w:r>
      <w:r w:rsidRPr="00DC23E4">
        <w:t xml:space="preserve"> organlar</w:t>
      </w:r>
      <w:r w:rsidR="00855DD5">
        <w:t>ın</w:t>
      </w:r>
      <w:r w:rsidR="00467DAC">
        <w:t xml:space="preserve"> da</w:t>
      </w:r>
      <w:r w:rsidRPr="00DC23E4">
        <w:t xml:space="preserve"> cumhurbaşkanın iradesin</w:t>
      </w:r>
      <w:r w:rsidR="00855DD5">
        <w:t>e bağımlı hale gelmesi üzerinde</w:t>
      </w:r>
      <w:r w:rsidR="007A2605">
        <w:t xml:space="preserve"> özellikle</w:t>
      </w:r>
      <w:r w:rsidR="00855DD5">
        <w:t xml:space="preserve"> durulması gereken bir</w:t>
      </w:r>
      <w:r w:rsidR="007B7519">
        <w:t xml:space="preserve"> diğer</w:t>
      </w:r>
      <w:r w:rsidR="00855DD5">
        <w:t xml:space="preserve"> gelişmedir.</w:t>
      </w:r>
      <w:r w:rsidRPr="00DC23E4">
        <w:t xml:space="preserve"> Türkiye’nin tarihi birikimi içinde</w:t>
      </w:r>
      <w:r w:rsidR="002C15C6" w:rsidRPr="00DC23E4">
        <w:t xml:space="preserve"> geçmişte</w:t>
      </w:r>
      <w:r w:rsidRPr="00DC23E4">
        <w:t xml:space="preserve"> önemli</w:t>
      </w:r>
      <w:r w:rsidR="00D336B6">
        <w:t xml:space="preserve"> </w:t>
      </w:r>
      <w:r w:rsidRPr="00DC23E4">
        <w:t>bir siyasi gü</w:t>
      </w:r>
      <w:r w:rsidR="00D336B6">
        <w:t>ce sahip olan</w:t>
      </w:r>
      <w:r w:rsidRPr="00DC23E4">
        <w:t xml:space="preserve"> bakanlıkların </w:t>
      </w:r>
      <w:r w:rsidR="00196A5E">
        <w:t>ve</w:t>
      </w:r>
      <w:r w:rsidRPr="00DC23E4">
        <w:t xml:space="preserve"> </w:t>
      </w:r>
      <w:r w:rsidR="00D10855">
        <w:t>yeni</w:t>
      </w:r>
      <w:r w:rsidR="00836EE0">
        <w:t xml:space="preserve"> </w:t>
      </w:r>
      <w:r w:rsidR="00D10855">
        <w:t>oluşturulan</w:t>
      </w:r>
      <w:r w:rsidRPr="00DC23E4">
        <w:t xml:space="preserve"> politika kurulları</w:t>
      </w:r>
      <w:r w:rsidR="00855DD5">
        <w:t>nın</w:t>
      </w:r>
      <w:r w:rsidRPr="00DC23E4">
        <w:t xml:space="preserve"> doğrudan cumhurbaşkanına karşı sorumlu</w:t>
      </w:r>
      <w:r w:rsidR="00855DD5">
        <w:t xml:space="preserve"> olması</w:t>
      </w:r>
      <w:r w:rsidR="005C2724">
        <w:t>;</w:t>
      </w:r>
      <w:r w:rsidR="00C573E5" w:rsidRPr="00C573E5">
        <w:rPr>
          <w:rStyle w:val="Funotenzeichen"/>
        </w:rPr>
        <w:t xml:space="preserve"> </w:t>
      </w:r>
      <w:r w:rsidR="00C573E5">
        <w:rPr>
          <w:rStyle w:val="Funotenzeichen"/>
        </w:rPr>
        <w:footnoteReference w:id="61"/>
      </w:r>
      <w:r w:rsidR="00855DD5">
        <w:t xml:space="preserve"> bakan yardımcıları</w:t>
      </w:r>
      <w:r w:rsidR="005C2724">
        <w:t>,</w:t>
      </w:r>
      <w:r w:rsidR="00855DD5">
        <w:t xml:space="preserve"> baka</w:t>
      </w:r>
      <w:r w:rsidR="005C2724">
        <w:t>nlıklardaki genel müdürler</w:t>
      </w:r>
      <w:r w:rsidR="007B7519">
        <w:t xml:space="preserve"> ve</w:t>
      </w:r>
      <w:r w:rsidR="005C2724">
        <w:t xml:space="preserve"> üst düzey kamu yöneticilerinin</w:t>
      </w:r>
      <w:r w:rsidR="00D336B6">
        <w:t xml:space="preserve"> belirlenmesinde</w:t>
      </w:r>
      <w:r w:rsidR="007B7519">
        <w:rPr>
          <w:rStyle w:val="Funotenzeichen"/>
        </w:rPr>
        <w:footnoteReference w:id="62"/>
      </w:r>
      <w:r w:rsidR="007B7519">
        <w:t xml:space="preserve"> ya da geçmiş dönemde çeşitli kurumların önerisi ya da görüş bildirmesiyle gerçekleştirilen pek çok idari işlemde</w:t>
      </w:r>
      <w:r w:rsidR="007B7519">
        <w:rPr>
          <w:rStyle w:val="Funotenzeichen"/>
        </w:rPr>
        <w:footnoteReference w:id="63"/>
      </w:r>
      <w:r w:rsidR="00D336B6">
        <w:t xml:space="preserve"> cumhurbaşkanın tek karar mercii haline</w:t>
      </w:r>
      <w:r w:rsidR="00C573E5">
        <w:t xml:space="preserve"> </w:t>
      </w:r>
      <w:r w:rsidR="00D336B6">
        <w:t>gelmesi</w:t>
      </w:r>
      <w:r w:rsidR="007B7519">
        <w:t xml:space="preserve">, </w:t>
      </w:r>
      <w:r w:rsidR="006E173E">
        <w:t xml:space="preserve">karizmatik otoriteye uygun bir idari yapının ortaya çıkmasına yol açmıştır. </w:t>
      </w:r>
      <w:r w:rsidR="00196A5E">
        <w:t>Bu tablo karşısında</w:t>
      </w:r>
      <w:r w:rsidR="006E173E">
        <w:t>, olağanüstü niteliklere sahip bir liderin cumhurbaşkanı olması</w:t>
      </w:r>
      <w:r w:rsidR="00196A5E">
        <w:t>nın</w:t>
      </w:r>
      <w:r w:rsidR="006E173E">
        <w:t xml:space="preserve">, yeni sistemde </w:t>
      </w:r>
      <w:r w:rsidR="00D336B6">
        <w:t>adeta bir</w:t>
      </w:r>
      <w:r w:rsidR="006E173E">
        <w:t xml:space="preserve"> zorunluluk haline gel</w:t>
      </w:r>
      <w:r w:rsidR="00196A5E">
        <w:t>diği ileri sürülebilir</w:t>
      </w:r>
      <w:r w:rsidR="006E173E">
        <w:t>, çünkü sıradan bir siyasi figürün bu denli geniş yetki ve sorumlulu</w:t>
      </w:r>
      <w:r w:rsidR="005C2724">
        <w:t>ğu</w:t>
      </w:r>
      <w:r w:rsidR="006E173E">
        <w:t xml:space="preserve">, etkin bir şekilde yerine getirebilmesi neredeyse olanaksızdır. </w:t>
      </w:r>
    </w:p>
    <w:p w:rsidR="00F214A8" w:rsidRDefault="002444F1" w:rsidP="005C2724">
      <w:pPr>
        <w:spacing w:after="120" w:line="360" w:lineRule="auto"/>
      </w:pPr>
      <w:r w:rsidRPr="00DC23E4">
        <w:lastRenderedPageBreak/>
        <w:t xml:space="preserve">Bu çerçevede, gece yarısı alınan cumhurbaşkanlığı kararları ile kadın </w:t>
      </w:r>
      <w:r w:rsidR="00541E52" w:rsidRPr="00DC23E4">
        <w:t>hakları mücadelesinin önemli bir kazanımı olan</w:t>
      </w:r>
      <w:r w:rsidRPr="00DC23E4">
        <w:t xml:space="preserve"> İstanbul Sözleşmesi’n</w:t>
      </w:r>
      <w:r w:rsidR="005C2724">
        <w:t>e taraf olmaya son verilmesi</w:t>
      </w:r>
      <w:r w:rsidR="00A06530">
        <w:rPr>
          <w:rStyle w:val="Funotenzeichen"/>
        </w:rPr>
        <w:footnoteReference w:id="64"/>
      </w:r>
      <w:r w:rsidRPr="00DC23E4">
        <w:t xml:space="preserve"> ya da</w:t>
      </w:r>
      <w:r w:rsidR="00541E52" w:rsidRPr="00DC23E4">
        <w:t xml:space="preserve"> tüm</w:t>
      </w:r>
      <w:r w:rsidR="00245FC9" w:rsidRPr="00DC23E4">
        <w:t xml:space="preserve"> üniversiteler</w:t>
      </w:r>
      <w:r w:rsidR="00541E52" w:rsidRPr="00DC23E4">
        <w:t>e</w:t>
      </w:r>
      <w:r w:rsidR="00245FC9" w:rsidRPr="00DC23E4">
        <w:t xml:space="preserve"> yönelik rutin müdahalelerin yanı sıra</w:t>
      </w:r>
      <w:r w:rsidRPr="00DC23E4">
        <w:t xml:space="preserve"> Türkiye’nin en köklü üniversitel</w:t>
      </w:r>
      <w:r w:rsidR="00541E52" w:rsidRPr="00DC23E4">
        <w:t>erinden birine</w:t>
      </w:r>
      <w:r w:rsidRPr="00DC23E4">
        <w:t xml:space="preserve"> gece yarısı karar</w:t>
      </w:r>
      <w:r w:rsidR="00541E52" w:rsidRPr="00DC23E4">
        <w:t>ı</w:t>
      </w:r>
      <w:r w:rsidRPr="00DC23E4">
        <w:t xml:space="preserve"> ile fakülteler kurulması</w:t>
      </w:r>
      <w:r w:rsidR="00E43B40">
        <w:rPr>
          <w:rStyle w:val="Funotenzeichen"/>
        </w:rPr>
        <w:footnoteReference w:id="65"/>
      </w:r>
      <w:r w:rsidR="00AD022F" w:rsidRPr="00DC23E4">
        <w:t xml:space="preserve"> ve</w:t>
      </w:r>
      <w:r w:rsidR="00541E52" w:rsidRPr="00DC23E4">
        <w:t>ya</w:t>
      </w:r>
      <w:r w:rsidR="00AD022F" w:rsidRPr="00DC23E4">
        <w:t xml:space="preserve"> rektör atanması,</w:t>
      </w:r>
      <w:r w:rsidR="00E43B40">
        <w:rPr>
          <w:rStyle w:val="Funotenzeichen"/>
        </w:rPr>
        <w:footnoteReference w:id="66"/>
      </w:r>
      <w:r w:rsidR="00AD022F" w:rsidRPr="00DC23E4">
        <w:t xml:space="preserve"> hukuk dogmatiğine dair tartışmalarla tüketilemeyecek bir niteliğe sahiptir. Bu olaylar, cumhurbaşkanın,</w:t>
      </w:r>
      <w:r w:rsidR="00DC23E4">
        <w:t xml:space="preserve"> </w:t>
      </w:r>
      <w:r w:rsidR="005C2724">
        <w:t>üstlendiği ve vadettiği misyonu yürütürken</w:t>
      </w:r>
      <w:r w:rsidR="00DC23E4">
        <w:t xml:space="preserve"> ancak kendi belirlediği sınırlara </w:t>
      </w:r>
      <w:r w:rsidR="005C2724">
        <w:t xml:space="preserve">tabi olduğunu gösteren, karizmatik otoritenin kristalleştiği </w:t>
      </w:r>
      <w:r w:rsidR="00C573E5">
        <w:t>anlar olarak</w:t>
      </w:r>
      <w:r w:rsidR="00DC23E4">
        <w:t xml:space="preserve"> değerlendirilebilir.</w:t>
      </w:r>
    </w:p>
    <w:p w:rsidR="004F69E9" w:rsidRDefault="004F69E9" w:rsidP="00D46F07">
      <w:pPr>
        <w:pStyle w:val="berschrift1"/>
      </w:pPr>
      <w:r w:rsidRPr="004F69E9">
        <w:t xml:space="preserve">Sonuç </w:t>
      </w:r>
    </w:p>
    <w:p w:rsidR="00AD022F" w:rsidRDefault="00AD022F" w:rsidP="00AD022F">
      <w:pPr>
        <w:spacing w:after="120" w:line="360" w:lineRule="auto"/>
      </w:pPr>
      <w:r>
        <w:t>Türkiye’</w:t>
      </w:r>
      <w:r w:rsidR="00DC23E4">
        <w:t xml:space="preserve">de </w:t>
      </w:r>
      <w:r>
        <w:t>2017 sonrasında ortaya çıkan anayasalı düzeni, Weber’in otorite türlerine dair tasnifi çerçevesinde, karizmatik otorite ve yasal otoritenin bir karışımı olarak nitelendiril</w:t>
      </w:r>
      <w:r w:rsidR="002C15C6">
        <w:t>mek mümkün</w:t>
      </w:r>
      <w:r>
        <w:t xml:space="preserve">. Devrimci dönüşümler çerçevesinde gözlemlenebilecek nitelikte saf bir karizmatik otorite değildir </w:t>
      </w:r>
      <w:r w:rsidR="00DC23E4">
        <w:t>söz konusu olan</w:t>
      </w:r>
      <w:r>
        <w:t>. Pek çok kurum ve kural, etkisini yitir</w:t>
      </w:r>
      <w:r w:rsidR="00EE2057">
        <w:t xml:space="preserve">mekle birlikte varlığını korumaktadır ve </w:t>
      </w:r>
      <w:r w:rsidR="00DC23E4">
        <w:t>cumhur</w:t>
      </w:r>
      <w:r w:rsidR="00EE2057">
        <w:t>başkanın</w:t>
      </w:r>
      <w:r w:rsidR="00DC23E4">
        <w:t>ın</w:t>
      </w:r>
      <w:r w:rsidR="00EE2057">
        <w:t xml:space="preserve"> siyasi rejimin merkezinde yer alan konumu da son kertede bir anayasa değişikliği ile hukuki bir çerçeveye kavuşturulmuştur</w:t>
      </w:r>
      <w:r>
        <w:t xml:space="preserve">. Fakat karizmatik otoritenin </w:t>
      </w:r>
      <w:r w:rsidR="00DC23E4">
        <w:t>gittikçe artan bir şekilde</w:t>
      </w:r>
      <w:r>
        <w:t xml:space="preserve"> </w:t>
      </w:r>
      <w:r w:rsidR="00DC23E4">
        <w:t>siyasi iktidarın meşruiyeti ve icrası açısından</w:t>
      </w:r>
      <w:r>
        <w:t xml:space="preserve"> belirleyici öğe </w:t>
      </w:r>
      <w:r w:rsidR="008426ED">
        <w:t>haline geldiği</w:t>
      </w:r>
      <w:r>
        <w:t xml:space="preserve"> söylenebilir. </w:t>
      </w:r>
      <w:r w:rsidR="00C573E5">
        <w:t>Diğer yandan</w:t>
      </w:r>
      <w:r>
        <w:t>,</w:t>
      </w:r>
      <w:r w:rsidR="00846783">
        <w:t xml:space="preserve"> son dönemde yaşanan gelişmeler</w:t>
      </w:r>
      <w:r>
        <w:t>, özellikle</w:t>
      </w:r>
      <w:r w:rsidR="002C15C6">
        <w:t xml:space="preserve"> de</w:t>
      </w:r>
      <w:r w:rsidR="00C573E5">
        <w:t xml:space="preserve"> </w:t>
      </w:r>
      <w:r>
        <w:t>siyasi ve iktisadi a</w:t>
      </w:r>
      <w:r w:rsidR="00C573E5">
        <w:t>landa</w:t>
      </w:r>
      <w:r>
        <w:t xml:space="preserve"> karşılaş</w:t>
      </w:r>
      <w:r w:rsidR="008426ED">
        <w:t>ılan zorluklar</w:t>
      </w:r>
      <w:r w:rsidR="001F78F8">
        <w:t xml:space="preserve"> </w:t>
      </w:r>
      <w:r w:rsidR="008426ED">
        <w:t>-</w:t>
      </w:r>
      <w:r w:rsidR="001F78F8">
        <w:t>Weber’in</w:t>
      </w:r>
      <w:r>
        <w:t xml:space="preserve"> karizmatik otoritenin devamı açısından </w:t>
      </w:r>
      <w:r w:rsidR="001F78F8">
        <w:t>temel bir önem atfettiği</w:t>
      </w:r>
      <w:r w:rsidR="008426ED">
        <w:t>-</w:t>
      </w:r>
      <w:r w:rsidR="002C15C6">
        <w:t xml:space="preserve"> takipçilerin esenliğini sağlayabilme </w:t>
      </w:r>
      <w:r w:rsidR="008426ED">
        <w:t xml:space="preserve">noktasında </w:t>
      </w:r>
      <w:r w:rsidR="00846783">
        <w:t>karizmatik</w:t>
      </w:r>
      <w:r w:rsidR="008426ED">
        <w:t xml:space="preserve"> otorite açısından önemli zaaflar yaratabilir.</w:t>
      </w:r>
      <w:r w:rsidR="002C15C6">
        <w:t xml:space="preserve"> </w:t>
      </w:r>
      <w:r w:rsidR="00DC23E4">
        <w:t>Ayrıca k</w:t>
      </w:r>
      <w:r w:rsidR="002C15C6">
        <w:t xml:space="preserve">arizmatik otoritenin, kurum ve kurallara dayalı sınırları aşmasını sağlayan </w:t>
      </w:r>
      <w:r w:rsidR="001F78F8">
        <w:t>“</w:t>
      </w:r>
      <w:r w:rsidR="002C15C6">
        <w:t>Yeni</w:t>
      </w:r>
      <w:r w:rsidR="001F78F8">
        <w:t>”</w:t>
      </w:r>
      <w:r w:rsidR="002C15C6">
        <w:t xml:space="preserve"> Türkiye’nin inşasına dayalı misyonun, kitleleri sürükleyebilecek bir duygusal heyecan yaratma </w:t>
      </w:r>
      <w:r w:rsidR="00EE2057">
        <w:t>kapasitesini</w:t>
      </w:r>
      <w:r w:rsidR="001F78F8">
        <w:t>n kaçınılmaz olarak</w:t>
      </w:r>
      <w:r w:rsidR="00EE2057">
        <w:t xml:space="preserve"> </w:t>
      </w:r>
      <w:r w:rsidR="001F78F8">
        <w:t>azaldığı</w:t>
      </w:r>
      <w:r w:rsidR="00EE2057">
        <w:t xml:space="preserve"> ileri sürülebilir</w:t>
      </w:r>
      <w:r w:rsidR="002C15C6">
        <w:t xml:space="preserve">. </w:t>
      </w:r>
      <w:r w:rsidR="008426ED">
        <w:t>Benzer bir tespit</w:t>
      </w:r>
      <w:r w:rsidR="002C15C6">
        <w:t>, 20 yıla yaklaşan iktidar sürecinin, karizmaya dayalı</w:t>
      </w:r>
      <w:r w:rsidR="00EE2057">
        <w:t xml:space="preserve"> siyasi</w:t>
      </w:r>
      <w:r w:rsidR="002C15C6">
        <w:t xml:space="preserve"> hareketin pek çok açıdan rutinleşmesini beraberinde getir</w:t>
      </w:r>
      <w:r w:rsidR="008426ED">
        <w:t>mesi açısından da yapılabilir</w:t>
      </w:r>
      <w:r w:rsidR="002C15C6">
        <w:t xml:space="preserve">. </w:t>
      </w:r>
      <w:r>
        <w:t xml:space="preserve">  </w:t>
      </w:r>
    </w:p>
    <w:p w:rsidR="00AD022F" w:rsidRPr="001E2A65" w:rsidRDefault="008D695B" w:rsidP="00933C1B">
      <w:pPr>
        <w:spacing w:after="120" w:line="360" w:lineRule="auto"/>
      </w:pPr>
      <w:r>
        <w:t xml:space="preserve">Fakat </w:t>
      </w:r>
      <w:r w:rsidR="002C15C6">
        <w:t xml:space="preserve">Türkiye’de siyasi iktidarın karizmatik otoriteye dayalı </w:t>
      </w:r>
      <w:r w:rsidR="00D52FB1">
        <w:t>süt</w:t>
      </w:r>
      <w:r w:rsidR="00EE2057">
        <w:t>u</w:t>
      </w:r>
      <w:r w:rsidR="00D52FB1">
        <w:t>n</w:t>
      </w:r>
      <w:r w:rsidR="00EE2057">
        <w:t>u</w:t>
      </w:r>
      <w:r w:rsidR="00D52FB1">
        <w:t>n</w:t>
      </w:r>
      <w:r w:rsidR="00EE2057">
        <w:t>un</w:t>
      </w:r>
      <w:r w:rsidR="005D7572">
        <w:t>, Weberya</w:t>
      </w:r>
      <w:r w:rsidR="00D52FB1">
        <w:t>n anlamda meşruiyetinin sarsılması</w:t>
      </w:r>
      <w:r w:rsidR="002C15C6">
        <w:t>,</w:t>
      </w:r>
      <w:r w:rsidR="00D52FB1">
        <w:t xml:space="preserve"> devlet aygıtı aracılığıyla sahip olduğu şiddet tekelini kullanma gücünün ortadan kalk</w:t>
      </w:r>
      <w:r w:rsidR="00EE2057">
        <w:t>acağı</w:t>
      </w:r>
      <w:r w:rsidR="00D52FB1">
        <w:t xml:space="preserve"> anlamına gelmez. Aksine siyasi otoritenin meşruiyet üretme kapasitesinin zayıflayışı kaçınılmaz olarak otoriter p</w:t>
      </w:r>
      <w:r w:rsidR="0076253B">
        <w:t>ratikleri beraberinde getirir ve Türkiye’de</w:t>
      </w:r>
      <w:r w:rsidR="00D52FB1">
        <w:t xml:space="preserve"> temel hak ve özgürlükler üzerindeki baskının artması</w:t>
      </w:r>
      <w:r w:rsidR="0076253B">
        <w:t xml:space="preserve"> da bu çerçevede değerlendirilebilir.</w:t>
      </w:r>
      <w:r w:rsidR="00D52FB1">
        <w:t xml:space="preserve"> Bu karamsar tablo</w:t>
      </w:r>
      <w:r w:rsidR="00DC23E4">
        <w:t xml:space="preserve"> karşısında</w:t>
      </w:r>
      <w:r w:rsidR="00D52FB1">
        <w:t>, bu sunumun başında olduğu gibi Tanör’ün tespitlerine başvurmak yol gösterici olabilir.</w:t>
      </w:r>
    </w:p>
    <w:p w:rsidR="00117AFB" w:rsidRDefault="00D52FB1" w:rsidP="0074537E">
      <w:pPr>
        <w:spacing w:after="120" w:line="360" w:lineRule="auto"/>
      </w:pPr>
      <w:r>
        <w:lastRenderedPageBreak/>
        <w:t>Türkiye’nin İnsan Hakları Sorunu başlıklı eserinin</w:t>
      </w:r>
      <w:r w:rsidR="00CB0154">
        <w:t xml:space="preserve"> son satır</w:t>
      </w:r>
      <w:r w:rsidR="003A37A7">
        <w:t>lar</w:t>
      </w:r>
      <w:r w:rsidR="00CB0154">
        <w:t>ında</w:t>
      </w:r>
      <w:r w:rsidR="003A37A7">
        <w:t xml:space="preserve"> Tanör</w:t>
      </w:r>
      <w:r w:rsidR="00CB0154">
        <w:t>,</w:t>
      </w:r>
      <w:r w:rsidR="00FB309B">
        <w:rPr>
          <w:rStyle w:val="Funotenzeichen"/>
        </w:rPr>
        <w:footnoteReference w:id="67"/>
      </w:r>
      <w:r w:rsidR="003A37A7">
        <w:t xml:space="preserve"> bir yandan</w:t>
      </w:r>
      <w:r w:rsidR="00CB0154">
        <w:t xml:space="preserve"> Türkiye’</w:t>
      </w:r>
      <w:r>
        <w:t>de</w:t>
      </w:r>
      <w:r w:rsidR="00CB0154">
        <w:t xml:space="preserve"> insan hakları sorununun, kültürel, toplumsal, ideolojik ve ekonomik</w:t>
      </w:r>
      <w:r w:rsidR="003A37A7">
        <w:t xml:space="preserve"> köklerinin çok derinlerde olduğunu belirtir, ama öte yandan </w:t>
      </w:r>
      <w:r w:rsidR="00CB0154">
        <w:t>bu tablonun, karamsarlı</w:t>
      </w:r>
      <w:r w:rsidR="00345F27">
        <w:t xml:space="preserve">ğa yol açmaması gerektiğini </w:t>
      </w:r>
      <w:r w:rsidR="00117AFB">
        <w:t xml:space="preserve">de </w:t>
      </w:r>
      <w:r w:rsidR="00345F27">
        <w:t>özellikle</w:t>
      </w:r>
      <w:r w:rsidR="00CB0154">
        <w:t xml:space="preserve"> vurgular.</w:t>
      </w:r>
      <w:r w:rsidR="00117AFB">
        <w:t xml:space="preserve"> </w:t>
      </w:r>
      <w:r w:rsidR="00C343EC">
        <w:t>Bunun nedeni Türkiye’nin,</w:t>
      </w:r>
      <w:r w:rsidR="00117AFB">
        <w:t xml:space="preserve"> tüm ağırlığıyla hissedilen</w:t>
      </w:r>
      <w:r w:rsidR="00345F27">
        <w:t xml:space="preserve"> insan hakları sorunun</w:t>
      </w:r>
      <w:r w:rsidR="00117AFB">
        <w:t>un</w:t>
      </w:r>
      <w:r w:rsidR="00345F27">
        <w:t xml:space="preserve"> aş</w:t>
      </w:r>
      <w:r w:rsidR="00117AFB">
        <w:t>ılmasını sağlayacak bir siyasi mücadele geleneğine sahip ol</w:t>
      </w:r>
      <w:r w:rsidR="00C343EC">
        <w:t>masıdır</w:t>
      </w:r>
      <w:r w:rsidR="00117AFB">
        <w:t xml:space="preserve">. </w:t>
      </w:r>
      <w:r w:rsidR="00CB0154">
        <w:t>1945-60 arasını, klasik ve siyasi haklar</w:t>
      </w:r>
      <w:r w:rsidR="00070AE1">
        <w:t xml:space="preserve"> için</w:t>
      </w:r>
      <w:r w:rsidR="00CB0154">
        <w:t xml:space="preserve">, </w:t>
      </w:r>
      <w:r w:rsidR="00345F27">
        <w:t>19</w:t>
      </w:r>
      <w:r w:rsidR="00CB0154">
        <w:t>60-80 arasını</w:t>
      </w:r>
      <w:r w:rsidR="007A6013">
        <w:t xml:space="preserve"> ise esasen</w:t>
      </w:r>
      <w:r w:rsidR="00CB0154">
        <w:t xml:space="preserve"> sosyal haklar</w:t>
      </w:r>
      <w:r w:rsidR="00070AE1">
        <w:t xml:space="preserve"> için</w:t>
      </w:r>
      <w:r w:rsidR="00CB0154">
        <w:t xml:space="preserve"> </w:t>
      </w:r>
      <w:r w:rsidR="00070AE1">
        <w:t>yürütülen</w:t>
      </w:r>
      <w:r w:rsidR="00CB0154">
        <w:t xml:space="preserve"> mücadeleler dönemi olarak tanımlayan Tanör, </w:t>
      </w:r>
      <w:r w:rsidR="00070AE1">
        <w:t>her iki dönemin</w:t>
      </w:r>
      <w:r w:rsidR="00CB0154">
        <w:t xml:space="preserve"> </w:t>
      </w:r>
      <w:r w:rsidR="00DC2A06">
        <w:t>“</w:t>
      </w:r>
      <w:r w:rsidR="00CB0154">
        <w:t>Türkiye halkının siyasi bilinç ve görgüsünde silinmesi zor izler bırak</w:t>
      </w:r>
      <w:r w:rsidR="00DC2A06">
        <w:t>”</w:t>
      </w:r>
      <w:r w:rsidR="00CB0154">
        <w:t xml:space="preserve">tığını ifade eder. </w:t>
      </w:r>
      <w:r w:rsidR="00070AE1">
        <w:t>19</w:t>
      </w:r>
      <w:r w:rsidR="00CB0154">
        <w:t>80 Darbesi’nin klasik, siyasi ve sosyal haklar</w:t>
      </w:r>
      <w:r w:rsidR="002C41D7">
        <w:t xml:space="preserve"> üzerinde</w:t>
      </w:r>
      <w:r w:rsidR="00070AE1">
        <w:t xml:space="preserve"> yarattığı tahribat</w:t>
      </w:r>
      <w:r w:rsidR="003A37A7">
        <w:t xml:space="preserve"> çok ağır olmakla birlikte, Tanör’e göre </w:t>
      </w:r>
      <w:r w:rsidR="002C41D7">
        <w:t>tahribatın</w:t>
      </w:r>
      <w:r w:rsidR="008D695B">
        <w:t xml:space="preserve"> bu</w:t>
      </w:r>
      <w:r w:rsidR="002C41D7">
        <w:t xml:space="preserve"> bütüncül niteliği,</w:t>
      </w:r>
      <w:r w:rsidR="00117AFB">
        <w:t xml:space="preserve"> </w:t>
      </w:r>
      <w:r w:rsidR="003A37A7">
        <w:t>karşı talepleri</w:t>
      </w:r>
      <w:r w:rsidR="00117AFB">
        <w:t>n</w:t>
      </w:r>
      <w:r w:rsidR="003A37A7">
        <w:t xml:space="preserve"> ve farklı alanlardaki mücadele</w:t>
      </w:r>
      <w:r w:rsidR="00117AFB">
        <w:t xml:space="preserve"> pratiklerinin ortaklaşmasına,</w:t>
      </w:r>
      <w:r w:rsidR="003A37A7">
        <w:t xml:space="preserve"> iç içe geç</w:t>
      </w:r>
      <w:r w:rsidR="00117AFB">
        <w:t>er</w:t>
      </w:r>
      <w:r w:rsidR="003A37A7">
        <w:t>ek canlan</w:t>
      </w:r>
      <w:r w:rsidR="00117AFB">
        <w:t>masına yo</w:t>
      </w:r>
      <w:r w:rsidR="002C41D7">
        <w:t>l</w:t>
      </w:r>
      <w:r w:rsidR="00117AFB">
        <w:t xml:space="preserve"> açmıştır. </w:t>
      </w:r>
      <w:r w:rsidR="008D695B">
        <w:t>Tanör’e göre</w:t>
      </w:r>
      <w:r w:rsidR="00117AFB">
        <w:t xml:space="preserve"> insan haklarına dair tablonun </w:t>
      </w:r>
      <w:r w:rsidR="00CF2FF8">
        <w:t>neden olabileceği</w:t>
      </w:r>
      <w:r w:rsidR="00117AFB">
        <w:t xml:space="preserve"> karamsarlığın aşılmasını sağlayan umudun kaynağı da ortaklaşa</w:t>
      </w:r>
      <w:r w:rsidR="00CF2FF8">
        <w:t>rak önemli bir güç birikimi yaratan</w:t>
      </w:r>
      <w:r w:rsidR="00117AFB">
        <w:t xml:space="preserve"> </w:t>
      </w:r>
      <w:r w:rsidR="00C343EC">
        <w:t xml:space="preserve">bu </w:t>
      </w:r>
      <w:r w:rsidR="00CF2FF8">
        <w:t xml:space="preserve">siyasi mücadele </w:t>
      </w:r>
      <w:r w:rsidR="00AA0FA8">
        <w:t>geleneği ve pratiğidir</w:t>
      </w:r>
      <w:r w:rsidR="00117AFB">
        <w:t>.</w:t>
      </w:r>
    </w:p>
    <w:p w:rsidR="0076253B" w:rsidRDefault="00070AE1" w:rsidP="0074537E">
      <w:pPr>
        <w:spacing w:after="120" w:line="360" w:lineRule="auto"/>
      </w:pPr>
      <w:r>
        <w:t xml:space="preserve">Tanör’ün </w:t>
      </w:r>
      <w:r w:rsidR="00117AFB">
        <w:t xml:space="preserve">önemine işaret ettiği </w:t>
      </w:r>
      <w:r w:rsidR="00843B1F">
        <w:t>gelenek ve pratiğin</w:t>
      </w:r>
      <w:r>
        <w:t>, 80 Darbesi’nin izlerini</w:t>
      </w:r>
      <w:r w:rsidR="00117AFB">
        <w:t>n</w:t>
      </w:r>
      <w:r>
        <w:t xml:space="preserve"> anayasal düzlemden belirli ölçüde silinmesinde ve Türkiye’nin siyasi alanının özgürlükçü bir yöne evrilmesinde önemli </w:t>
      </w:r>
      <w:r w:rsidR="00570AD4">
        <w:t>kazanımlar</w:t>
      </w:r>
      <w:r w:rsidR="001F78F8">
        <w:t xml:space="preserve"> elde ettiği bir gerçek</w:t>
      </w:r>
      <w:r>
        <w:t xml:space="preserve">. </w:t>
      </w:r>
      <w:r w:rsidR="00117AFB">
        <w:t xml:space="preserve">Bugünün </w:t>
      </w:r>
      <w:r w:rsidR="004103E3">
        <w:t>siyasi ortamının</w:t>
      </w:r>
      <w:r w:rsidR="00117AFB">
        <w:t xml:space="preserve"> da</w:t>
      </w:r>
      <w:r w:rsidR="004103E3">
        <w:t xml:space="preserve"> </w:t>
      </w:r>
      <w:r w:rsidR="00846783">
        <w:t xml:space="preserve">çoğulcu özgürlükçü bir demokrasinin inşası için </w:t>
      </w:r>
      <w:r w:rsidR="00117AFB">
        <w:t>benzer bir dinamik</w:t>
      </w:r>
      <w:r w:rsidR="004103E3">
        <w:t xml:space="preserve"> yaratma</w:t>
      </w:r>
      <w:r w:rsidR="003647C4">
        <w:t xml:space="preserve"> olasılığı</w:t>
      </w:r>
      <w:r w:rsidR="00117AFB">
        <w:t xml:space="preserve"> barındırdığı</w:t>
      </w:r>
      <w:r w:rsidR="003647C4">
        <w:t xml:space="preserve"> göz ardı edilmemeli</w:t>
      </w:r>
      <w:r w:rsidR="00117AFB">
        <w:t>dir</w:t>
      </w:r>
      <w:r w:rsidR="004103E3">
        <w:t>.</w:t>
      </w:r>
      <w:r w:rsidR="00117AFB">
        <w:t xml:space="preserve"> </w:t>
      </w:r>
      <w:r w:rsidR="001F78F8">
        <w:t>K</w:t>
      </w:r>
      <w:r w:rsidR="00117AFB">
        <w:t>ayyu</w:t>
      </w:r>
      <w:r w:rsidR="0072614A">
        <w:t>m uygulamalarından</w:t>
      </w:r>
      <w:r w:rsidR="00087EC0">
        <w:t>,</w:t>
      </w:r>
      <w:r w:rsidR="0072614A">
        <w:t xml:space="preserve"> </w:t>
      </w:r>
      <w:r w:rsidR="00087EC0">
        <w:t>b</w:t>
      </w:r>
      <w:r w:rsidR="004103E3">
        <w:t>aroların bölünmesi</w:t>
      </w:r>
      <w:r w:rsidR="001F78F8">
        <w:t>ne</w:t>
      </w:r>
      <w:r w:rsidR="004103E3">
        <w:t>, İstanbul Sözleşmesi’ne taraf olunmasına son verilmesin</w:t>
      </w:r>
      <w:r w:rsidR="0076253B">
        <w:t>den</w:t>
      </w:r>
      <w:r w:rsidR="004103E3">
        <w:t xml:space="preserve">, </w:t>
      </w:r>
      <w:r w:rsidR="0072614A">
        <w:t>LGBTİ</w:t>
      </w:r>
      <w:r w:rsidR="004103E3">
        <w:t>’lere yönelik nefret söylemine</w:t>
      </w:r>
      <w:r w:rsidR="0072614A">
        <w:t>, bağımsız medya kuruluşlarına verilen kapatma cezaların</w:t>
      </w:r>
      <w:r w:rsidR="00087EC0">
        <w:t>dan</w:t>
      </w:r>
      <w:r w:rsidR="008D537C">
        <w:t>,</w:t>
      </w:r>
      <w:r w:rsidR="00087EC0">
        <w:t xml:space="preserve"> çevresel tahribata yol açan projelerin hayata geçirilmesine</w:t>
      </w:r>
      <w:r w:rsidR="00117AFB">
        <w:t xml:space="preserve">, </w:t>
      </w:r>
      <w:r w:rsidR="008D537C">
        <w:t>grev yasaklarından, kıdem tazminatının kaldırılmasına</w:t>
      </w:r>
      <w:r w:rsidR="00087EC0">
        <w:t xml:space="preserve"> yönelik girişimlere</w:t>
      </w:r>
      <w:r w:rsidR="0072614A">
        <w:t xml:space="preserve"> kadar çok geniş bir yelpazede </w:t>
      </w:r>
      <w:r w:rsidR="00AA2601">
        <w:t>yaşanan insan hakları ihlallerinin ulaştığı boyutlar</w:t>
      </w:r>
      <w:r w:rsidR="00846783">
        <w:t>;</w:t>
      </w:r>
      <w:r w:rsidR="004103E3">
        <w:t xml:space="preserve"> farklı kesimlerin taleplerini ve mücadele pratiklerini iç</w:t>
      </w:r>
      <w:r w:rsidR="00087EC0">
        <w:t xml:space="preserve"> </w:t>
      </w:r>
      <w:r w:rsidR="004103E3">
        <w:t>içe geçir</w:t>
      </w:r>
      <w:r w:rsidR="00087EC0">
        <w:t>me potansiyeline sahiptir.</w:t>
      </w:r>
      <w:r w:rsidR="00AA0FA8">
        <w:t xml:space="preserve"> </w:t>
      </w:r>
    </w:p>
    <w:p w:rsidR="00957AA9" w:rsidRPr="00957AA9" w:rsidRDefault="0074537E" w:rsidP="00933C1B">
      <w:pPr>
        <w:spacing w:after="120" w:line="360" w:lineRule="auto"/>
      </w:pPr>
      <w:r>
        <w:t>Tüm bu sorunların çözümü için tek başına yeterli olmayacağı açık olmakla birlikte, eksikliği, söz konusu sorunların ağır</w:t>
      </w:r>
      <w:r w:rsidR="001F78F8">
        <w:t xml:space="preserve"> bir şekilde hissedilmesinin</w:t>
      </w:r>
      <w:r>
        <w:t xml:space="preserve"> temel nedenini oluşturan kurum ve kurallarıyla anayasal bir yönetimin inşası</w:t>
      </w:r>
      <w:r w:rsidR="00846783">
        <w:t xml:space="preserve"> bu çerçevede</w:t>
      </w:r>
      <w:r>
        <w:t xml:space="preserve">, </w:t>
      </w:r>
      <w:r w:rsidR="00D336B6">
        <w:t>öncelikli bir reform</w:t>
      </w:r>
      <w:r>
        <w:t xml:space="preserve"> olarak kendini göstermektedir.</w:t>
      </w:r>
      <w:r w:rsidR="00D52FB1">
        <w:t xml:space="preserve"> Parlamenter rejime dönüş</w:t>
      </w:r>
      <w:r w:rsidR="00AE1EF7">
        <w:t>e dair son günlerde yoğunlaşan tartışmalar</w:t>
      </w:r>
      <w:r w:rsidR="00D52FB1">
        <w:t xml:space="preserve"> bu açıdan </w:t>
      </w:r>
      <w:r w:rsidR="0076253B">
        <w:t>dikkat çekici bir</w:t>
      </w:r>
      <w:r w:rsidR="00D52FB1">
        <w:t xml:space="preserve"> gelişme </w:t>
      </w:r>
      <w:r w:rsidR="008D695B">
        <w:t>olarak nitelendirilebilir</w:t>
      </w:r>
      <w:r w:rsidR="00D52FB1">
        <w:t>.</w:t>
      </w:r>
      <w:r w:rsidR="008D695B">
        <w:t xml:space="preserve"> Homojen olduğu varsayılan halkın, aslında çoğulcu olan yapısının yansıyabileceği parlamentonun ve onun ürettiği kanunların, siyasi rejimin merkezine yerleşebilmesi, siyasi otoritenin meşruiyeti v</w:t>
      </w:r>
      <w:r w:rsidR="00843B1F">
        <w:t>e icrasının gayri şahsi bir yöne doğru evrilmesi açısından</w:t>
      </w:r>
      <w:r w:rsidR="008D695B">
        <w:t xml:space="preserve"> önemli bir adım olacaktır. </w:t>
      </w:r>
      <w:r w:rsidR="00D52FB1">
        <w:t xml:space="preserve"> </w:t>
      </w:r>
    </w:p>
    <w:sectPr w:rsidR="00957AA9" w:rsidRPr="00957AA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FA9" w:rsidRDefault="00774FA9" w:rsidP="00957AA9">
      <w:r>
        <w:separator/>
      </w:r>
    </w:p>
  </w:endnote>
  <w:endnote w:type="continuationSeparator" w:id="0">
    <w:p w:rsidR="00774FA9" w:rsidRDefault="00774FA9" w:rsidP="00957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604020202020204"/>
    <w:charset w:val="A2"/>
    <w:family w:val="swiss"/>
    <w:pitch w:val="variable"/>
    <w:sig w:usb0="E4002EFF" w:usb1="C000E47F" w:usb2="00000009" w:usb3="00000000" w:csb0="000001FF" w:csb1="00000000"/>
  </w:font>
  <w:font w:name="TimesNewRomanPSMT">
    <w:altName w:val="Times New Roman"/>
    <w:panose1 w:val="020206030504050203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2440457"/>
      <w:docPartObj>
        <w:docPartGallery w:val="Page Numbers (Bottom of Page)"/>
        <w:docPartUnique/>
      </w:docPartObj>
    </w:sdtPr>
    <w:sdtEndPr/>
    <w:sdtContent>
      <w:p w:rsidR="006E173E" w:rsidRDefault="006E173E">
        <w:pPr>
          <w:pStyle w:val="Fuzeile"/>
          <w:jc w:val="right"/>
        </w:pPr>
        <w:r>
          <w:fldChar w:fldCharType="begin"/>
        </w:r>
        <w:r>
          <w:instrText>PAGE   \* MERGEFORMAT</w:instrText>
        </w:r>
        <w:r>
          <w:fldChar w:fldCharType="separate"/>
        </w:r>
        <w:r w:rsidR="001E5513">
          <w:rPr>
            <w:noProof/>
          </w:rPr>
          <w:t>11</w:t>
        </w:r>
        <w:r>
          <w:fldChar w:fldCharType="end"/>
        </w:r>
      </w:p>
    </w:sdtContent>
  </w:sdt>
  <w:p w:rsidR="006E173E" w:rsidRDefault="006E173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FA9" w:rsidRDefault="00774FA9" w:rsidP="00957AA9">
      <w:r>
        <w:separator/>
      </w:r>
    </w:p>
  </w:footnote>
  <w:footnote w:type="continuationSeparator" w:id="0">
    <w:p w:rsidR="00774FA9" w:rsidRDefault="00774FA9" w:rsidP="00957AA9">
      <w:r>
        <w:continuationSeparator/>
      </w:r>
    </w:p>
  </w:footnote>
  <w:footnote w:id="1">
    <w:p w:rsidR="006E173E" w:rsidRDefault="006E173E">
      <w:pPr>
        <w:pStyle w:val="Funotentext"/>
      </w:pPr>
      <w:r>
        <w:rPr>
          <w:rStyle w:val="Funotenzeichen"/>
        </w:rPr>
        <w:footnoteRef/>
      </w:r>
      <w:r>
        <w:t xml:space="preserve"> Bu sunum, 2014 yılında Birikim Dergisi’nin 301. sayısında yayınlanan </w:t>
      </w:r>
      <w:r w:rsidRPr="002D09AE">
        <w:rPr>
          <w:i/>
        </w:rPr>
        <w:t>“Faşist Hukuk Devleti Olur mu? Weimar Çökerken Schmitt’in Söyledikleri ve Türkiye’de Hukuk Devleti”</w:t>
      </w:r>
      <w:r>
        <w:t xml:space="preserve"> ve 2020 yılında Ayrıntı Dergisi’nin 35. sayısında yayınlanan </w:t>
      </w:r>
      <w:r w:rsidRPr="002D09AE">
        <w:rPr>
          <w:i/>
        </w:rPr>
        <w:t>“Türkiye’de Anayasal Düzenin Dönüşümü”</w:t>
      </w:r>
      <w:r>
        <w:t xml:space="preserve"> başlıklı yazılara dayanarak hazırlanmıştır.</w:t>
      </w:r>
      <w:r w:rsidR="007376A1">
        <w:t xml:space="preserve"> Sunuma dair katkı ve yorumları içim Çiğdem Sever’e çok teşekkür ederim. </w:t>
      </w:r>
    </w:p>
  </w:footnote>
  <w:footnote w:id="2">
    <w:p w:rsidR="006E173E" w:rsidRDefault="006E173E" w:rsidP="00373472">
      <w:pPr>
        <w:pStyle w:val="Funotentext"/>
      </w:pPr>
      <w:r>
        <w:rPr>
          <w:rStyle w:val="Funotenzeichen"/>
        </w:rPr>
        <w:footnoteRef/>
      </w:r>
      <w:r>
        <w:t xml:space="preserve"> </w:t>
      </w:r>
      <w:r w:rsidRPr="00840427">
        <w:t>Max</w:t>
      </w:r>
      <w:r>
        <w:t xml:space="preserve"> </w:t>
      </w:r>
      <w:r w:rsidRPr="00840427">
        <w:t xml:space="preserve">Weber, </w:t>
      </w:r>
      <w:r w:rsidRPr="00840427">
        <w:rPr>
          <w:i/>
        </w:rPr>
        <w:t>Wirtschaft und Gesellschaft</w:t>
      </w:r>
      <w:r w:rsidRPr="00840427">
        <w:rPr>
          <w:b/>
        </w:rPr>
        <w:t xml:space="preserve">, </w:t>
      </w:r>
      <w:r w:rsidRPr="00840427">
        <w:t>Zweitausendeins Verlag,</w:t>
      </w:r>
      <w:r>
        <w:t xml:space="preserve"> </w:t>
      </w:r>
      <w:r w:rsidRPr="00840427">
        <w:t>2008, s.</w:t>
      </w:r>
      <w:r>
        <w:t xml:space="preserve"> 38-39.</w:t>
      </w:r>
    </w:p>
  </w:footnote>
  <w:footnote w:id="3">
    <w:p w:rsidR="006E173E" w:rsidRDefault="006E173E">
      <w:pPr>
        <w:pStyle w:val="Funotentext"/>
      </w:pPr>
      <w:r>
        <w:rPr>
          <w:rStyle w:val="Funotenzeichen"/>
        </w:rPr>
        <w:footnoteRef/>
      </w:r>
      <w:r>
        <w:t xml:space="preserve"> Ibid, s. 157-159. </w:t>
      </w:r>
    </w:p>
  </w:footnote>
  <w:footnote w:id="4">
    <w:p w:rsidR="006E173E" w:rsidRDefault="006E173E">
      <w:pPr>
        <w:pStyle w:val="Funotentext"/>
      </w:pPr>
      <w:r>
        <w:rPr>
          <w:rStyle w:val="Funotenzeichen"/>
        </w:rPr>
        <w:footnoteRef/>
      </w:r>
      <w:r>
        <w:t xml:space="preserve"> Ibid, s. 159, 167. </w:t>
      </w:r>
    </w:p>
  </w:footnote>
  <w:footnote w:id="5">
    <w:p w:rsidR="006E173E" w:rsidRDefault="006E173E">
      <w:pPr>
        <w:pStyle w:val="Funotentext"/>
      </w:pPr>
      <w:r>
        <w:rPr>
          <w:rStyle w:val="Funotenzeichen"/>
        </w:rPr>
        <w:footnoteRef/>
      </w:r>
      <w:r>
        <w:t xml:space="preserve"> Ibid, s. 159-160.</w:t>
      </w:r>
    </w:p>
  </w:footnote>
  <w:footnote w:id="6">
    <w:p w:rsidR="006E173E" w:rsidRDefault="006E173E">
      <w:pPr>
        <w:pStyle w:val="Funotentext"/>
      </w:pPr>
      <w:r>
        <w:rPr>
          <w:rStyle w:val="Funotenzeichen"/>
        </w:rPr>
        <w:footnoteRef/>
      </w:r>
      <w:r>
        <w:t xml:space="preserve"> Ibid, s. 160 vd. </w:t>
      </w:r>
    </w:p>
  </w:footnote>
  <w:footnote w:id="7">
    <w:p w:rsidR="006E173E" w:rsidRDefault="006E173E">
      <w:pPr>
        <w:pStyle w:val="Funotentext"/>
      </w:pPr>
      <w:r>
        <w:rPr>
          <w:rStyle w:val="Funotenzeichen"/>
        </w:rPr>
        <w:footnoteRef/>
      </w:r>
      <w:r>
        <w:t xml:space="preserve"> Ibid, s. 832 vd.</w:t>
      </w:r>
    </w:p>
  </w:footnote>
  <w:footnote w:id="8">
    <w:p w:rsidR="006E173E" w:rsidRPr="00362133" w:rsidRDefault="006E173E" w:rsidP="00362133">
      <w:pPr>
        <w:pStyle w:val="Funotentext"/>
      </w:pPr>
      <w:r>
        <w:rPr>
          <w:rStyle w:val="Funotenzeichen"/>
        </w:rPr>
        <w:footnoteRef/>
      </w:r>
      <w:r>
        <w:t xml:space="preserve"> </w:t>
      </w:r>
      <w:r w:rsidRPr="0026612A">
        <w:t>Maurizio Bach</w:t>
      </w:r>
      <w:r>
        <w:t xml:space="preserve">, “Mussolini und Hitler als charismatische Führer, Was kann Max Webers Modell der charismatischen Herrschaft zur Erklärung der Dynamik faschistischer Bewegungen beitragen?”, </w:t>
      </w:r>
      <w:r w:rsidRPr="00362133">
        <w:rPr>
          <w:i/>
        </w:rPr>
        <w:t>Der Faschismus in Europa Wege der Forschung</w:t>
      </w:r>
      <w:r>
        <w:t>, Ed. Thomas Schlemmer,</w:t>
      </w:r>
      <w:r w:rsidRPr="0026612A">
        <w:t xml:space="preserve"> Hans Woller</w:t>
      </w:r>
      <w:r>
        <w:t xml:space="preserve">, </w:t>
      </w:r>
      <w:r w:rsidRPr="00362133">
        <w:t>De Gruyter Oldenbourg</w:t>
      </w:r>
      <w:r>
        <w:t>, 2014, s. 120.</w:t>
      </w:r>
    </w:p>
  </w:footnote>
  <w:footnote w:id="9">
    <w:p w:rsidR="006E173E" w:rsidRDefault="006E173E">
      <w:pPr>
        <w:pStyle w:val="Funotentext"/>
      </w:pPr>
      <w:r>
        <w:rPr>
          <w:rStyle w:val="Funotenzeichen"/>
        </w:rPr>
        <w:footnoteRef/>
      </w:r>
      <w:r>
        <w:t xml:space="preserve"> </w:t>
      </w:r>
      <w:r w:rsidRPr="00840427">
        <w:t>Max</w:t>
      </w:r>
      <w:r>
        <w:t xml:space="preserve"> </w:t>
      </w:r>
      <w:r w:rsidRPr="00840427">
        <w:t xml:space="preserve">Weber, </w:t>
      </w:r>
      <w:r w:rsidRPr="00840427">
        <w:rPr>
          <w:i/>
        </w:rPr>
        <w:t>Wirtschaft und Gesellschaft</w:t>
      </w:r>
      <w:r w:rsidRPr="00D826D0">
        <w:t xml:space="preserve">, s. </w:t>
      </w:r>
      <w:r>
        <w:t>179-181.</w:t>
      </w:r>
      <w:r>
        <w:rPr>
          <w:b/>
        </w:rPr>
        <w:t xml:space="preserve"> </w:t>
      </w:r>
    </w:p>
  </w:footnote>
  <w:footnote w:id="10">
    <w:p w:rsidR="006E173E" w:rsidRDefault="006E173E">
      <w:pPr>
        <w:pStyle w:val="Funotentext"/>
      </w:pPr>
      <w:r>
        <w:rPr>
          <w:rStyle w:val="Funotenzeichen"/>
        </w:rPr>
        <w:footnoteRef/>
      </w:r>
      <w:r>
        <w:t xml:space="preserve"> Ibid.</w:t>
      </w:r>
    </w:p>
  </w:footnote>
  <w:footnote w:id="11">
    <w:p w:rsidR="006E173E" w:rsidRDefault="006E173E" w:rsidP="00CA43E7">
      <w:pPr>
        <w:pStyle w:val="Funotentext"/>
      </w:pPr>
      <w:r>
        <w:rPr>
          <w:rStyle w:val="Funotenzeichen"/>
        </w:rPr>
        <w:footnoteRef/>
      </w:r>
      <w:r>
        <w:t xml:space="preserve"> Rüdiger Hachtmann, “Charismatische Herrschaft und der Nationalsozialismus”, Version: 1.0, </w:t>
      </w:r>
      <w:r w:rsidRPr="00603FEB">
        <w:rPr>
          <w:i/>
        </w:rPr>
        <w:t>Docupedia-Zeitgeschichte</w:t>
      </w:r>
      <w:r>
        <w:t>, 02.04.2019, s. 5, www.</w:t>
      </w:r>
      <w:r w:rsidRPr="00C4285F">
        <w:t>docupedia.de</w:t>
      </w:r>
      <w:r>
        <w:t xml:space="preserve">. </w:t>
      </w:r>
      <w:r>
        <w:tab/>
      </w:r>
    </w:p>
  </w:footnote>
  <w:footnote w:id="12">
    <w:p w:rsidR="006E173E" w:rsidRDefault="006E173E">
      <w:pPr>
        <w:pStyle w:val="Funotentext"/>
      </w:pPr>
      <w:r>
        <w:rPr>
          <w:rStyle w:val="Funotenzeichen"/>
        </w:rPr>
        <w:footnoteRef/>
      </w:r>
      <w:r>
        <w:t xml:space="preserve"> </w:t>
      </w:r>
      <w:r w:rsidRPr="00840427">
        <w:t>Max</w:t>
      </w:r>
      <w:r>
        <w:t xml:space="preserve"> </w:t>
      </w:r>
      <w:r w:rsidRPr="00840427">
        <w:t xml:space="preserve">Weber, </w:t>
      </w:r>
      <w:r w:rsidRPr="00840427">
        <w:rPr>
          <w:i/>
        </w:rPr>
        <w:t>Wirtschaft und Gesellschaft</w:t>
      </w:r>
      <w:r w:rsidRPr="00D826D0">
        <w:t>, s.</w:t>
      </w:r>
      <w:r>
        <w:t xml:space="preserve">, s. 834-835. </w:t>
      </w:r>
    </w:p>
  </w:footnote>
  <w:footnote w:id="13">
    <w:p w:rsidR="006E173E" w:rsidRDefault="006E173E">
      <w:pPr>
        <w:pStyle w:val="Funotentext"/>
      </w:pPr>
      <w:r>
        <w:rPr>
          <w:rStyle w:val="Funotenzeichen"/>
        </w:rPr>
        <w:footnoteRef/>
      </w:r>
      <w:r>
        <w:t xml:space="preserve"> Max Weber, </w:t>
      </w:r>
      <w:r w:rsidRPr="002C422B">
        <w:rPr>
          <w:i/>
        </w:rPr>
        <w:t xml:space="preserve">Typen der Herrschaft </w:t>
      </w:r>
      <w:r>
        <w:t>[1922], Ed. Andrea Mauer, Reclam Verlag, 2019, s. 17.</w:t>
      </w:r>
    </w:p>
  </w:footnote>
  <w:footnote w:id="14">
    <w:p w:rsidR="006E173E" w:rsidRDefault="006E173E" w:rsidP="003C25FB">
      <w:pPr>
        <w:pStyle w:val="Funotentext"/>
      </w:pPr>
      <w:r>
        <w:rPr>
          <w:rStyle w:val="Funotenzeichen"/>
        </w:rPr>
        <w:footnoteRef/>
      </w:r>
      <w:r>
        <w:t xml:space="preserve"> </w:t>
      </w:r>
      <w:r w:rsidRPr="00840427">
        <w:t>Max</w:t>
      </w:r>
      <w:r>
        <w:t xml:space="preserve"> </w:t>
      </w:r>
      <w:r w:rsidRPr="00840427">
        <w:t xml:space="preserve">Weber, </w:t>
      </w:r>
      <w:r w:rsidRPr="00840427">
        <w:rPr>
          <w:i/>
        </w:rPr>
        <w:t>Wirtschaft und Gesellschaft</w:t>
      </w:r>
      <w:r>
        <w:t>, s. 839.</w:t>
      </w:r>
    </w:p>
  </w:footnote>
  <w:footnote w:id="15">
    <w:p w:rsidR="006E173E" w:rsidRDefault="006E173E">
      <w:pPr>
        <w:pStyle w:val="Funotentext"/>
      </w:pPr>
      <w:r>
        <w:rPr>
          <w:rStyle w:val="Funotenzeichen"/>
        </w:rPr>
        <w:footnoteRef/>
      </w:r>
      <w:r>
        <w:t xml:space="preserve"> Ibid, s. 179-180, 835.</w:t>
      </w:r>
    </w:p>
  </w:footnote>
  <w:footnote w:id="16">
    <w:p w:rsidR="006E173E" w:rsidRDefault="006E173E">
      <w:pPr>
        <w:pStyle w:val="Funotentext"/>
      </w:pPr>
      <w:r>
        <w:rPr>
          <w:rStyle w:val="Funotenzeichen"/>
        </w:rPr>
        <w:footnoteRef/>
      </w:r>
      <w:r>
        <w:t xml:space="preserve"> Ibid, s. 182 vd. </w:t>
      </w:r>
    </w:p>
  </w:footnote>
  <w:footnote w:id="17">
    <w:p w:rsidR="006E173E" w:rsidRDefault="006E173E">
      <w:pPr>
        <w:pStyle w:val="Funotentext"/>
      </w:pPr>
      <w:r>
        <w:rPr>
          <w:rStyle w:val="Funotenzeichen"/>
        </w:rPr>
        <w:footnoteRef/>
      </w:r>
      <w:r>
        <w:t xml:space="preserve"> Ibid, s. 160.</w:t>
      </w:r>
    </w:p>
  </w:footnote>
  <w:footnote w:id="18">
    <w:p w:rsidR="006E173E" w:rsidRDefault="006E173E" w:rsidP="00C262F8">
      <w:pPr>
        <w:pStyle w:val="Funotentext"/>
      </w:pPr>
      <w:r>
        <w:rPr>
          <w:rStyle w:val="Funotenzeichen"/>
        </w:rPr>
        <w:footnoteRef/>
      </w:r>
      <w:r>
        <w:t xml:space="preserve"> </w:t>
      </w:r>
      <w:r w:rsidRPr="0026612A">
        <w:t>Maurizio Bach</w:t>
      </w:r>
      <w:r>
        <w:t xml:space="preserve">, “Mussolini und Hitler als charismatische Führer, Was kann Max Webers Modell der charismatischen Herrschaft zur Erklärung der Dynamik faschistischer Bewegungen beitragen?”, s. 107; </w:t>
      </w:r>
      <w:r w:rsidRPr="00D4084C">
        <w:t>Stefan Breuer, Maurizio Bach</w:t>
      </w:r>
      <w:r>
        <w:t xml:space="preserve">, </w:t>
      </w:r>
      <w:r w:rsidRPr="006F5E21">
        <w:rPr>
          <w:i/>
        </w:rPr>
        <w:t>Faschismus als Bewegung und Regime: Italien und Deutschland im Vergleich</w:t>
      </w:r>
      <w:r>
        <w:t>, Springer, 2010, s. 205-209.</w:t>
      </w:r>
    </w:p>
  </w:footnote>
  <w:footnote w:id="19">
    <w:p w:rsidR="006E173E" w:rsidRDefault="006E173E" w:rsidP="00DD1EBD">
      <w:pPr>
        <w:pStyle w:val="Funotentext"/>
      </w:pPr>
      <w:r>
        <w:rPr>
          <w:rStyle w:val="Funotenzeichen"/>
        </w:rPr>
        <w:footnoteRef/>
      </w:r>
      <w:r>
        <w:t xml:space="preserve"> Rüdiger Hachtmann, “Charismatische Herrschaft und der Nationalsozialismus”, s. 9.</w:t>
      </w:r>
    </w:p>
  </w:footnote>
  <w:footnote w:id="20">
    <w:p w:rsidR="006E173E" w:rsidRDefault="006E173E">
      <w:pPr>
        <w:pStyle w:val="Funotentext"/>
      </w:pPr>
      <w:r>
        <w:rPr>
          <w:rStyle w:val="Funotenzeichen"/>
        </w:rPr>
        <w:footnoteRef/>
      </w:r>
      <w:r>
        <w:t xml:space="preserve"> </w:t>
      </w:r>
      <w:r w:rsidRPr="006F5E21">
        <w:t>M. Rainer Lepsius</w:t>
      </w:r>
      <w:r>
        <w:t>, “</w:t>
      </w:r>
      <w:r w:rsidRPr="006F5E21">
        <w:t>Max Weber’s Concept of Charismatic Authority and Its A</w:t>
      </w:r>
      <w:r>
        <w:t xml:space="preserve">pplicability to Adolf Hitler’s </w:t>
      </w:r>
      <w:r w:rsidRPr="006F5E21">
        <w:t>Führerstaat”</w:t>
      </w:r>
      <w:r>
        <w:t xml:space="preserve">, </w:t>
      </w:r>
      <w:r w:rsidRPr="006F5E21">
        <w:rPr>
          <w:i/>
        </w:rPr>
        <w:t>Max Weber and Institutional Theory</w:t>
      </w:r>
      <w:r>
        <w:t xml:space="preserve">, Ed. </w:t>
      </w:r>
      <w:r w:rsidRPr="006F5E21">
        <w:t>Claus Wendt</w:t>
      </w:r>
      <w:r>
        <w:t>, Springer, 2017, s. 92.</w:t>
      </w:r>
    </w:p>
  </w:footnote>
  <w:footnote w:id="21">
    <w:p w:rsidR="006E173E" w:rsidRPr="007667EA" w:rsidRDefault="006E173E">
      <w:pPr>
        <w:pStyle w:val="Funotentext"/>
      </w:pPr>
      <w:r>
        <w:rPr>
          <w:rStyle w:val="Funotenzeichen"/>
        </w:rPr>
        <w:footnoteRef/>
      </w:r>
      <w:r>
        <w:t xml:space="preserve"> Bülent Tanör, </w:t>
      </w:r>
      <w:r w:rsidRPr="002D0B2F">
        <w:rPr>
          <w:i/>
        </w:rPr>
        <w:t>Türkiye’de Kongre İktidarları (1918-1920)</w:t>
      </w:r>
      <w:r>
        <w:t xml:space="preserve">, 4. bs, Yapı Kredi Yayınları, 2016; </w:t>
      </w:r>
      <w:r>
        <w:rPr>
          <w:i/>
        </w:rPr>
        <w:t>Osmanlı-Türk Anayasal Gelişmeleri</w:t>
      </w:r>
      <w:r>
        <w:t xml:space="preserve">, 35. bs., Yapı Kredi Yayınları, 2021;  </w:t>
      </w:r>
    </w:p>
  </w:footnote>
  <w:footnote w:id="22">
    <w:p w:rsidR="006E173E" w:rsidRDefault="006E173E">
      <w:pPr>
        <w:pStyle w:val="Funotentext"/>
      </w:pPr>
      <w:r>
        <w:rPr>
          <w:rStyle w:val="Funotenzeichen"/>
        </w:rPr>
        <w:footnoteRef/>
      </w:r>
      <w:r>
        <w:t xml:space="preserve"> Bülent Tanör, </w:t>
      </w:r>
      <w:r w:rsidRPr="00D57DB3">
        <w:rPr>
          <w:i/>
        </w:rPr>
        <w:t>Türkiye’nin İnsan Hakları Sorunu</w:t>
      </w:r>
      <w:r>
        <w:t xml:space="preserve">, 3. bs., BDS, 1993, s. 149, (abç). </w:t>
      </w:r>
    </w:p>
  </w:footnote>
  <w:footnote w:id="23">
    <w:p w:rsidR="006E173E" w:rsidRDefault="006E173E">
      <w:pPr>
        <w:pStyle w:val="Funotentext"/>
      </w:pPr>
      <w:r>
        <w:rPr>
          <w:rStyle w:val="Funotenzeichen"/>
        </w:rPr>
        <w:footnoteRef/>
      </w:r>
      <w:r>
        <w:t xml:space="preserve"> Bülent Tanör, Necmi Yüzbaşıoğlu, </w:t>
      </w:r>
      <w:r w:rsidRPr="00933C1B">
        <w:rPr>
          <w:i/>
        </w:rPr>
        <w:t>1982 Anayasasına Göre Türk Anayasa Hukuku</w:t>
      </w:r>
      <w:r>
        <w:t>, 17. bs, Beta, 2018, s. 44-56.</w:t>
      </w:r>
    </w:p>
  </w:footnote>
  <w:footnote w:id="24">
    <w:p w:rsidR="006E173E" w:rsidRDefault="006E173E" w:rsidP="00880C85">
      <w:pPr>
        <w:pStyle w:val="Funotentext"/>
      </w:pPr>
      <w:r>
        <w:rPr>
          <w:rStyle w:val="Funotenzeichen"/>
        </w:rPr>
        <w:footnoteRef/>
      </w:r>
      <w:r>
        <w:t xml:space="preserve"> </w:t>
      </w:r>
      <w:r w:rsidRPr="006F5E21">
        <w:t>M. Rainer Lepsius</w:t>
      </w:r>
      <w:r>
        <w:t>, “</w:t>
      </w:r>
      <w:r w:rsidRPr="006F5E21">
        <w:t>Max Weber’s Concept of Charismatic Authority and Its A</w:t>
      </w:r>
      <w:r>
        <w:t xml:space="preserve">pplicability to Adolf Hitler’s </w:t>
      </w:r>
      <w:r w:rsidRPr="006F5E21">
        <w:t>Führerstaat”</w:t>
      </w:r>
      <w:r>
        <w:t>,, s. 91-92.</w:t>
      </w:r>
    </w:p>
  </w:footnote>
  <w:footnote w:id="25">
    <w:p w:rsidR="00191387" w:rsidRDefault="00191387" w:rsidP="00191387">
      <w:pPr>
        <w:pStyle w:val="Funotentext"/>
      </w:pPr>
      <w:r>
        <w:rPr>
          <w:rStyle w:val="Funotenzeichen"/>
        </w:rPr>
        <w:footnoteRef/>
      </w:r>
      <w:r>
        <w:t xml:space="preserve"> Örnek olarak bkz. </w:t>
      </w:r>
      <w:r w:rsidRPr="00CC0E10">
        <w:t xml:space="preserve">Kemal Gözler, </w:t>
      </w:r>
      <w:r w:rsidRPr="00C119A4">
        <w:rPr>
          <w:i/>
        </w:rPr>
        <w:t>“1982 Anayasası Hala Yürürlükte Mi? Anayasasızlaştırma Üzerine Bir Deneme”</w:t>
      </w:r>
      <w:r w:rsidRPr="00CC0E10">
        <w:t xml:space="preserve">, </w:t>
      </w:r>
      <w:r w:rsidRPr="00C119A4">
        <w:t>www.anayasa.gen.tr</w:t>
      </w:r>
      <w:r>
        <w:t>; Murat Sevinç, “</w:t>
      </w:r>
      <w:r w:rsidRPr="00C119A4">
        <w:t>İnsan ve toplum, kendi eder kendi bulur…</w:t>
      </w:r>
      <w:r>
        <w:t xml:space="preserve">”, </w:t>
      </w:r>
      <w:r w:rsidRPr="00C119A4">
        <w:rPr>
          <w:i/>
        </w:rPr>
        <w:t>Diken</w:t>
      </w:r>
      <w:r>
        <w:t xml:space="preserve">, 7.4.2015, </w:t>
      </w:r>
      <w:r w:rsidRPr="00C119A4">
        <w:t>www.diken.com.tr</w:t>
      </w:r>
      <w:r>
        <w:t>; Dinçer Demirkent, “</w:t>
      </w:r>
      <w:r w:rsidRPr="00C119A4">
        <w:t>Liberallerin Dinmeyen Özlemi: Anti-Ceberrut, Anti-Derin, Anti-Paralel Devlet ya da Sadece Devlet</w:t>
      </w:r>
      <w:r>
        <w:t xml:space="preserve">”, </w:t>
      </w:r>
      <w:r w:rsidRPr="00C119A4">
        <w:rPr>
          <w:i/>
        </w:rPr>
        <w:t>Ayrıntı Dergi</w:t>
      </w:r>
      <w:r>
        <w:t xml:space="preserve">, 12.4.2014, </w:t>
      </w:r>
      <w:r w:rsidRPr="00C119A4">
        <w:t>www.ayrintidergi.com.tr</w:t>
      </w:r>
      <w:r>
        <w:t xml:space="preserve">; İbrahim Ö. Kaboğlu, “Anayasa Fetişizmi ve Anayasasızlaştırma İkilemi”, </w:t>
      </w:r>
      <w:r w:rsidRPr="00C119A4">
        <w:rPr>
          <w:i/>
        </w:rPr>
        <w:t>Anayasa Hukuku Dergisi</w:t>
      </w:r>
      <w:r>
        <w:t>, Cilt: 2, Sayı: 4, 2013, s. 6-9, www.anayasader.org.</w:t>
      </w:r>
    </w:p>
  </w:footnote>
  <w:footnote w:id="26">
    <w:p w:rsidR="006E173E" w:rsidRDefault="006E173E">
      <w:pPr>
        <w:pStyle w:val="Funotentext"/>
      </w:pPr>
      <w:r>
        <w:rPr>
          <w:rStyle w:val="Funotenzeichen"/>
        </w:rPr>
        <w:footnoteRef/>
      </w:r>
      <w:r>
        <w:t xml:space="preserve"> “</w:t>
      </w:r>
      <w:r w:rsidRPr="00A366B0">
        <w:t>AKP tarihsel gelişimi terse çevirmek istiyor</w:t>
      </w:r>
      <w:r>
        <w:t xml:space="preserve">”, </w:t>
      </w:r>
      <w:r w:rsidRPr="00A366B0">
        <w:rPr>
          <w:i/>
        </w:rPr>
        <w:t>Birgün</w:t>
      </w:r>
      <w:r>
        <w:t xml:space="preserve">, 12.2.2015, </w:t>
      </w:r>
      <w:r w:rsidRPr="00570AD4">
        <w:t>www.birgun.net</w:t>
      </w:r>
      <w:r>
        <w:t xml:space="preserve">. Eroğul’un bu saptamalarına işaret eden ve Türkiye’deki devlet aygıtının ve hukuk düzeninin dönüşümüne dair önemli analizler içeren bir yazı olarak bkz. Murat Sevinç, “Demokrasiyle Birlikte Eriyen Devlet!”, </w:t>
      </w:r>
      <w:r w:rsidRPr="006968A3">
        <w:rPr>
          <w:i/>
        </w:rPr>
        <w:t>Gazete Duvar</w:t>
      </w:r>
      <w:r>
        <w:t xml:space="preserve">, 24.9.2019,  </w:t>
      </w:r>
      <w:r w:rsidRPr="00570AD4">
        <w:t>www.gazeteduvar.com.</w:t>
      </w:r>
    </w:p>
  </w:footnote>
  <w:footnote w:id="27">
    <w:p w:rsidR="006E173E" w:rsidRDefault="006E173E">
      <w:pPr>
        <w:pStyle w:val="Funotentext"/>
      </w:pPr>
      <w:r>
        <w:rPr>
          <w:rStyle w:val="Funotenzeichen"/>
        </w:rPr>
        <w:footnoteRef/>
      </w:r>
      <w:r>
        <w:t xml:space="preserve"> </w:t>
      </w:r>
      <w:r w:rsidRPr="00CC0E10">
        <w:t xml:space="preserve">Olağanüstü yargı organları hakkında ayrıntılı </w:t>
      </w:r>
      <w:r>
        <w:t>değerlendirme ve tartışmalar</w:t>
      </w:r>
      <w:r w:rsidRPr="00CC0E10">
        <w:t xml:space="preserve"> için bkz. </w:t>
      </w:r>
      <w:r w:rsidRPr="0074662B">
        <w:rPr>
          <w:i/>
        </w:rPr>
        <w:t>Parçalanmış Adalet, Türkiye’de Özel Ceza Yargısı,</w:t>
      </w:r>
      <w:r w:rsidRPr="00CC0E10">
        <w:t xml:space="preserve"> Ed. Haluk İnanıcı, İletişim, 2011.</w:t>
      </w:r>
    </w:p>
  </w:footnote>
  <w:footnote w:id="28">
    <w:p w:rsidR="006E173E" w:rsidRDefault="006E173E">
      <w:pPr>
        <w:pStyle w:val="Funotentext"/>
      </w:pPr>
      <w:r>
        <w:rPr>
          <w:rStyle w:val="Funotenzeichen"/>
        </w:rPr>
        <w:footnoteRef/>
      </w:r>
      <w:r>
        <w:t xml:space="preserve"> Türkiye’deki ceza mahkemelerinin Hrant Dink davasını ele alış biçimindeki tutarsızlık ve çelişkilerin ayrıntılı bir eleştirisi için bkz. Ertuğrul Uzun, </w:t>
      </w:r>
      <w:r w:rsidRPr="0074662B">
        <w:rPr>
          <w:i/>
        </w:rPr>
        <w:t>Hukuk Metodolojisinin Sorunları</w:t>
      </w:r>
      <w:r>
        <w:t>, 3. bs., Nora, 2018, s. 305-332.</w:t>
      </w:r>
    </w:p>
  </w:footnote>
  <w:footnote w:id="29">
    <w:p w:rsidR="006E173E" w:rsidRDefault="006E173E">
      <w:pPr>
        <w:pStyle w:val="Funotentext"/>
      </w:pPr>
      <w:r>
        <w:rPr>
          <w:rStyle w:val="Funotenzeichen"/>
        </w:rPr>
        <w:footnoteRef/>
      </w:r>
      <w:r>
        <w:t xml:space="preserve"> Türkiye’de, yaşam hakkı ile işkence ve kötü muamele yasağı ihlalleri karşısındaki cezasızlık pratiğinin hukuki değerlendirmesi için bkz. Öznur Sevdiren, </w:t>
      </w:r>
      <w:r w:rsidRPr="00A117F2">
        <w:rPr>
          <w:i/>
        </w:rPr>
        <w:t>Türkiye’nin Cezasızlık Mevzuatı</w:t>
      </w:r>
      <w:r>
        <w:t>, Hafıza Merkezi, 2015.</w:t>
      </w:r>
    </w:p>
  </w:footnote>
  <w:footnote w:id="30">
    <w:p w:rsidR="006E173E" w:rsidRDefault="006E173E">
      <w:pPr>
        <w:pStyle w:val="Funotentext"/>
      </w:pPr>
      <w:r>
        <w:rPr>
          <w:rStyle w:val="Funotenzeichen"/>
        </w:rPr>
        <w:footnoteRef/>
      </w:r>
      <w:r>
        <w:t xml:space="preserve"> </w:t>
      </w:r>
      <w:r w:rsidRPr="00840427">
        <w:t xml:space="preserve">Mithat Sancar, Eylem Ümit Atılan, </w:t>
      </w:r>
      <w:r w:rsidRPr="00840427">
        <w:rPr>
          <w:i/>
        </w:rPr>
        <w:t>“Adalet Biraz Es Geçiliyor”, Demokratikleşme Sürecinde Hâkimler ve Savcılar</w:t>
      </w:r>
      <w:r w:rsidRPr="00840427">
        <w:t>, Tesev, 2009, s. 148; Orhan Gazi Ertekin</w:t>
      </w:r>
      <w:r w:rsidRPr="00840427">
        <w:rPr>
          <w:i/>
        </w:rPr>
        <w:t>, "Türkiye'de Neden Bir Yargı Yoktur ve Adliyeler Neden Çökmektedir?"</w:t>
      </w:r>
      <w:r w:rsidRPr="00840427">
        <w:t>, Türkiye'de Yargı Yoktur, Nika, 2013, s. 23-27.</w:t>
      </w:r>
    </w:p>
  </w:footnote>
  <w:footnote w:id="31">
    <w:p w:rsidR="006E173E" w:rsidRDefault="006E173E">
      <w:pPr>
        <w:pStyle w:val="Funotentext"/>
      </w:pPr>
      <w:r>
        <w:rPr>
          <w:rStyle w:val="Funotenzeichen"/>
        </w:rPr>
        <w:footnoteRef/>
      </w:r>
      <w:r>
        <w:t xml:space="preserve">  Danıştay, </w:t>
      </w:r>
      <w:r w:rsidRPr="006968A3">
        <w:t xml:space="preserve">İdari Dava Daireleri Genel Kurulu, </w:t>
      </w:r>
      <w:r w:rsidRPr="006968A3">
        <w:rPr>
          <w:i/>
        </w:rPr>
        <w:t>E: 1988/6, K</w:t>
      </w:r>
      <w:r w:rsidRPr="006968A3">
        <w:rPr>
          <w:i/>
          <w:lang w:val="de-DE"/>
        </w:rPr>
        <w:t>: 1989/4</w:t>
      </w:r>
      <w:r w:rsidRPr="00114EC0">
        <w:rPr>
          <w:lang w:val="de-DE"/>
        </w:rPr>
        <w:t>, 7.12.1989.</w:t>
      </w:r>
    </w:p>
  </w:footnote>
  <w:footnote w:id="32">
    <w:p w:rsidR="006E173E" w:rsidRDefault="006E173E" w:rsidP="00965980">
      <w:pPr>
        <w:pStyle w:val="Funotentext"/>
      </w:pPr>
      <w:r>
        <w:rPr>
          <w:rStyle w:val="Funotenzeichen"/>
        </w:rPr>
        <w:footnoteRef/>
      </w:r>
      <w:r>
        <w:t xml:space="preserve">  Örnek olarak bkz. AYM, </w:t>
      </w:r>
      <w:r w:rsidRPr="00965980">
        <w:rPr>
          <w:i/>
        </w:rPr>
        <w:t>E:1992/1, K:1993/1</w:t>
      </w:r>
      <w:r>
        <w:t xml:space="preserve">, 14.7.1993; </w:t>
      </w:r>
      <w:r w:rsidRPr="00965980">
        <w:rPr>
          <w:i/>
        </w:rPr>
        <w:t>E:1993/1, K:1993/2</w:t>
      </w:r>
      <w:r>
        <w:t xml:space="preserve">, 23.11.1993; </w:t>
      </w:r>
      <w:r w:rsidRPr="00965980">
        <w:rPr>
          <w:i/>
        </w:rPr>
        <w:t>E:1993/3, K:1994/2</w:t>
      </w:r>
      <w:r>
        <w:t>, 16.6.1994.</w:t>
      </w:r>
    </w:p>
  </w:footnote>
  <w:footnote w:id="33">
    <w:p w:rsidR="006E173E" w:rsidRDefault="006E173E">
      <w:pPr>
        <w:pStyle w:val="Funotentext"/>
      </w:pPr>
      <w:r>
        <w:rPr>
          <w:rStyle w:val="Funotenzeichen"/>
        </w:rPr>
        <w:footnoteRef/>
      </w:r>
      <w:r>
        <w:t xml:space="preserve"> AYM, </w:t>
      </w:r>
      <w:r w:rsidRPr="00965980">
        <w:rPr>
          <w:i/>
        </w:rPr>
        <w:t>E: 1990/25, K: 1991/1</w:t>
      </w:r>
      <w:r w:rsidRPr="00F1000B">
        <w:t xml:space="preserve">, 10.01.1991; </w:t>
      </w:r>
      <w:r w:rsidRPr="00965980">
        <w:rPr>
          <w:i/>
        </w:rPr>
        <w:t>E: 1991/6, K: 1991/20</w:t>
      </w:r>
      <w:r w:rsidRPr="00F1000B">
        <w:t xml:space="preserve">, 03.07.1991; </w:t>
      </w:r>
      <w:r w:rsidRPr="00965980">
        <w:rPr>
          <w:i/>
        </w:rPr>
        <w:t>E: 1992/30, K: 1992/36</w:t>
      </w:r>
      <w:r w:rsidRPr="00F1000B">
        <w:t>, 26.05.1992;</w:t>
      </w:r>
    </w:p>
  </w:footnote>
  <w:footnote w:id="34">
    <w:p w:rsidR="006E173E" w:rsidRDefault="006E173E">
      <w:pPr>
        <w:pStyle w:val="Funotentext"/>
      </w:pPr>
      <w:r>
        <w:rPr>
          <w:rStyle w:val="Funotenzeichen"/>
        </w:rPr>
        <w:footnoteRef/>
      </w:r>
      <w:r>
        <w:t xml:space="preserve"> Kemal Gözler, “Hukuk Nereye Gidiyor?”, </w:t>
      </w:r>
      <w:r w:rsidRPr="00B53D57">
        <w:rPr>
          <w:i/>
        </w:rPr>
        <w:t>Anayasa Hukuku Dergisi</w:t>
      </w:r>
      <w:r>
        <w:t>, Cilt: 7, Sayı: 14, 2018, s. 564.</w:t>
      </w:r>
    </w:p>
  </w:footnote>
  <w:footnote w:id="35">
    <w:p w:rsidR="006E173E" w:rsidRDefault="006E173E">
      <w:pPr>
        <w:pStyle w:val="Funotentext"/>
      </w:pPr>
      <w:r>
        <w:rPr>
          <w:rStyle w:val="Funotenzeichen"/>
        </w:rPr>
        <w:footnoteRef/>
      </w:r>
      <w:r>
        <w:t xml:space="preserve"> Kemal Gözler, “Hukukun Siyasetle İmtihanı, Kim Sınıfta Kaldı?”, </w:t>
      </w:r>
      <w:r>
        <w:rPr>
          <w:i/>
        </w:rPr>
        <w:t xml:space="preserve">Türkiye Günlüğü, </w:t>
      </w:r>
      <w:r>
        <w:t xml:space="preserve">Sayı: 89, 2007, s. 5-15,  </w:t>
      </w:r>
      <w:r w:rsidRPr="00965980">
        <w:t>www.anayasa.gen.tr.</w:t>
      </w:r>
    </w:p>
  </w:footnote>
  <w:footnote w:id="36">
    <w:p w:rsidR="006E173E" w:rsidRDefault="006E173E">
      <w:pPr>
        <w:pStyle w:val="Funotentext"/>
      </w:pPr>
      <w:r>
        <w:rPr>
          <w:rStyle w:val="Funotenzeichen"/>
        </w:rPr>
        <w:footnoteRef/>
      </w:r>
      <w:r>
        <w:t xml:space="preserve"> AYM, </w:t>
      </w:r>
      <w:r w:rsidRPr="00D82411">
        <w:rPr>
          <w:i/>
        </w:rPr>
        <w:t>E: 2016/6, K: 2016/12</w:t>
      </w:r>
      <w:r>
        <w:t xml:space="preserve">, 4.8.2016, § 79; </w:t>
      </w:r>
      <w:r w:rsidRPr="00D82411">
        <w:rPr>
          <w:i/>
        </w:rPr>
        <w:t>E: 2016/166, K: 2016/159</w:t>
      </w:r>
      <w:r w:rsidRPr="00D82411">
        <w:t>, 12.10.2016</w:t>
      </w:r>
      <w:r>
        <w:t>, § 14-17.</w:t>
      </w:r>
    </w:p>
  </w:footnote>
  <w:footnote w:id="37">
    <w:p w:rsidR="006E173E" w:rsidRDefault="006E173E">
      <w:pPr>
        <w:pStyle w:val="Funotentext"/>
      </w:pPr>
      <w:r>
        <w:rPr>
          <w:rStyle w:val="Funotenzeichen"/>
        </w:rPr>
        <w:footnoteRef/>
      </w:r>
      <w:r>
        <w:t xml:space="preserve"> AYM, </w:t>
      </w:r>
      <w:r w:rsidRPr="00003DFA">
        <w:rPr>
          <w:i/>
        </w:rPr>
        <w:t>Zübeyde Füsun Üstel ve Diğerleri Başvurusu</w:t>
      </w:r>
      <w:r w:rsidRPr="00003DFA">
        <w:t>, 2018/17635, 26.7.2019.</w:t>
      </w:r>
    </w:p>
  </w:footnote>
  <w:footnote w:id="38">
    <w:p w:rsidR="006E173E" w:rsidRDefault="006E173E">
      <w:pPr>
        <w:pStyle w:val="Funotentext"/>
      </w:pPr>
      <w:r>
        <w:rPr>
          <w:rStyle w:val="Funotenzeichen"/>
        </w:rPr>
        <w:footnoteRef/>
      </w:r>
      <w:r>
        <w:t xml:space="preserve"> AYM, </w:t>
      </w:r>
      <w:r w:rsidRPr="00FA139B">
        <w:rPr>
          <w:i/>
        </w:rPr>
        <w:t>E: 2016/25, K: 2016/186</w:t>
      </w:r>
      <w:r w:rsidRPr="00AB4497">
        <w:t>, 14.12.2016</w:t>
      </w:r>
      <w:r>
        <w:t xml:space="preserve">. </w:t>
      </w:r>
    </w:p>
  </w:footnote>
  <w:footnote w:id="39">
    <w:p w:rsidR="006E173E" w:rsidRDefault="006E173E">
      <w:pPr>
        <w:pStyle w:val="Funotentext"/>
      </w:pPr>
      <w:r>
        <w:rPr>
          <w:rStyle w:val="Funotenzeichen"/>
        </w:rPr>
        <w:footnoteRef/>
      </w:r>
      <w:r>
        <w:t xml:space="preserve"> 2021 yılına dek, Cumhurbaşkanına hakaret suçu açısından verilen bir cezanın ifade özgürlüğü kapsamında incelendiği tek örnek olarak bkz. </w:t>
      </w:r>
      <w:r w:rsidRPr="00D742DE">
        <w:rPr>
          <w:i/>
        </w:rPr>
        <w:t>Umut Kılıç Başvurusu</w:t>
      </w:r>
      <w:r>
        <w:t xml:space="preserve">, 2015/16643, 4.4.2018. AYM, dönemin başbakanı olan Erdoğan hakkındaki ifadeleri nedeniyle bireylerin hakaret suçu kapsamında cezalandırıldığı örneklerde ifade özgürlüğünün ihlal edilmediğine hükmederken, başvurucuların, ihlal iddialarını yeteri kadar temellendiremediklerini gerekçe göstermekte, esasa dair bir denetim yapmaktan kaçınmaktadır. Örnek olarak bkz. </w:t>
      </w:r>
      <w:r w:rsidRPr="00D742DE">
        <w:rPr>
          <w:i/>
        </w:rPr>
        <w:t>Mustafa Akaydın Başvurusu</w:t>
      </w:r>
      <w:r>
        <w:t xml:space="preserve">, 2015/14800, 8.1.2020, § 25-26; </w:t>
      </w:r>
      <w:r w:rsidRPr="00D742DE">
        <w:rPr>
          <w:i/>
        </w:rPr>
        <w:t>Abdurrahman Erol Özkoray Başvurusu</w:t>
      </w:r>
      <w:r>
        <w:t xml:space="preserve">, 2015/798, 9.1.2020, § 25-26. </w:t>
      </w:r>
    </w:p>
  </w:footnote>
  <w:footnote w:id="40">
    <w:p w:rsidR="006E173E" w:rsidRDefault="006E173E">
      <w:pPr>
        <w:pStyle w:val="Funotentext"/>
      </w:pPr>
      <w:r>
        <w:rPr>
          <w:rStyle w:val="Funotenzeichen"/>
        </w:rPr>
        <w:footnoteRef/>
      </w:r>
      <w:r>
        <w:t xml:space="preserve"> AYM, </w:t>
      </w:r>
      <w:r w:rsidRPr="006F5E21">
        <w:rPr>
          <w:i/>
        </w:rPr>
        <w:t>Şaban Sevinç Başvurusu (2)</w:t>
      </w:r>
      <w:r>
        <w:t xml:space="preserve">, </w:t>
      </w:r>
      <w:r>
        <w:rPr>
          <w:rFonts w:ascii="TimesNewRomanPSMT" w:hAnsi="TimesNewRomanPSMT" w:cs="TimesNewRomanPSMT"/>
          <w:szCs w:val="24"/>
        </w:rPr>
        <w:t xml:space="preserve">2016/36777, 26.5.2021; </w:t>
      </w:r>
      <w:r w:rsidRPr="006F5E21">
        <w:rPr>
          <w:rFonts w:ascii="TimesNewRomanPSMT" w:hAnsi="TimesNewRomanPSMT" w:cs="TimesNewRomanPSMT"/>
          <w:i/>
          <w:szCs w:val="24"/>
        </w:rPr>
        <w:t>Yaşar Gökoğlu Başvurusu</w:t>
      </w:r>
      <w:r>
        <w:rPr>
          <w:rFonts w:ascii="TimesNewRomanPSMT" w:hAnsi="TimesNewRomanPSMT" w:cs="TimesNewRomanPSMT"/>
          <w:szCs w:val="24"/>
        </w:rPr>
        <w:t xml:space="preserve">, 2017/6162, 8.6.2021; </w:t>
      </w:r>
      <w:r w:rsidRPr="006F5E21">
        <w:rPr>
          <w:rFonts w:ascii="TimesNewRomanPSMT" w:hAnsi="TimesNewRomanPSMT" w:cs="TimesNewRomanPSMT"/>
          <w:i/>
          <w:szCs w:val="24"/>
        </w:rPr>
        <w:t>Diren Taşkıran Başvurusu</w:t>
      </w:r>
      <w:r>
        <w:rPr>
          <w:rFonts w:ascii="TimesNewRomanPSMT" w:hAnsi="TimesNewRomanPSMT" w:cs="TimesNewRomanPSMT"/>
          <w:szCs w:val="24"/>
        </w:rPr>
        <w:t xml:space="preserve">, 2017/26466, 26.5.2021. </w:t>
      </w:r>
    </w:p>
  </w:footnote>
  <w:footnote w:id="41">
    <w:p w:rsidR="006E173E" w:rsidRDefault="006E173E" w:rsidP="00FA139B">
      <w:pPr>
        <w:pStyle w:val="Funotentext"/>
      </w:pPr>
      <w:r>
        <w:rPr>
          <w:rStyle w:val="Funotenzeichen"/>
        </w:rPr>
        <w:footnoteRef/>
      </w:r>
      <w:r>
        <w:t xml:space="preserve"> AYM, </w:t>
      </w:r>
      <w:r w:rsidRPr="00FA139B">
        <w:rPr>
          <w:i/>
        </w:rPr>
        <w:t>E: 2014/101, K: 2017/142</w:t>
      </w:r>
      <w:r>
        <w:t xml:space="preserve">, 28.09.2017, § 38, 90-93. </w:t>
      </w:r>
    </w:p>
  </w:footnote>
  <w:footnote w:id="42">
    <w:p w:rsidR="006E173E" w:rsidRDefault="006E173E" w:rsidP="00D742DE">
      <w:pPr>
        <w:pStyle w:val="Funotentext"/>
      </w:pPr>
      <w:r>
        <w:rPr>
          <w:rStyle w:val="Funotenzeichen"/>
        </w:rPr>
        <w:footnoteRef/>
      </w:r>
      <w:r>
        <w:t xml:space="preserve"> AYM, </w:t>
      </w:r>
      <w:r w:rsidRPr="007A2605">
        <w:rPr>
          <w:i/>
        </w:rPr>
        <w:t>E:</w:t>
      </w:r>
      <w:r>
        <w:t xml:space="preserve"> </w:t>
      </w:r>
      <w:r w:rsidRPr="00D742DE">
        <w:rPr>
          <w:i/>
        </w:rPr>
        <w:t>2018/89, K: 2019/84</w:t>
      </w:r>
      <w:r>
        <w:t>, 14.11.2019, § 18-38.</w:t>
      </w:r>
    </w:p>
  </w:footnote>
  <w:footnote w:id="43">
    <w:p w:rsidR="006E173E" w:rsidRDefault="006E173E" w:rsidP="00D82411">
      <w:pPr>
        <w:pStyle w:val="Funotentext"/>
      </w:pPr>
      <w:r>
        <w:rPr>
          <w:rStyle w:val="Funotenzeichen"/>
        </w:rPr>
        <w:footnoteRef/>
      </w:r>
      <w:r>
        <w:t xml:space="preserve"> AYM, </w:t>
      </w:r>
      <w:r w:rsidRPr="00D82411">
        <w:rPr>
          <w:i/>
        </w:rPr>
        <w:t>E: 2018/73, K: 2019/65</w:t>
      </w:r>
      <w:r>
        <w:t>, 24.7.2019, § 174-187.</w:t>
      </w:r>
    </w:p>
  </w:footnote>
  <w:footnote w:id="44">
    <w:p w:rsidR="006E173E" w:rsidRDefault="006E173E">
      <w:pPr>
        <w:pStyle w:val="Funotentext"/>
      </w:pPr>
      <w:r>
        <w:rPr>
          <w:rStyle w:val="Funotenzeichen"/>
        </w:rPr>
        <w:footnoteRef/>
      </w:r>
      <w:r>
        <w:t xml:space="preserve"> </w:t>
      </w:r>
      <w:r w:rsidRPr="00CC0E10">
        <w:t>Bülent Arınç açıklamaları için bkz.</w:t>
      </w:r>
      <w:r>
        <w:t xml:space="preserve"> </w:t>
      </w:r>
      <w:r w:rsidRPr="00CC0E10">
        <w:t xml:space="preserve">“Türkiye Bağırsaklarını Temizliyor”, </w:t>
      </w:r>
      <w:r>
        <w:t xml:space="preserve">4 Temmuz 2008, </w:t>
      </w:r>
      <w:r w:rsidRPr="0032194D">
        <w:rPr>
          <w:i/>
        </w:rPr>
        <w:t>Vatan</w:t>
      </w:r>
      <w:r>
        <w:t>, www.gazetevatan.com.</w:t>
      </w:r>
    </w:p>
  </w:footnote>
  <w:footnote w:id="45">
    <w:p w:rsidR="006E173E" w:rsidRDefault="006E173E">
      <w:pPr>
        <w:pStyle w:val="Funotentext"/>
      </w:pPr>
      <w:r>
        <w:rPr>
          <w:rStyle w:val="Funotenzeichen"/>
        </w:rPr>
        <w:footnoteRef/>
      </w:r>
      <w:r>
        <w:t xml:space="preserve"> </w:t>
      </w:r>
      <w:r w:rsidRPr="00CC0E10">
        <w:t xml:space="preserve">“Cumhurbaşkanı Erdoğan kaymakamlara seslendi”, </w:t>
      </w:r>
      <w:r w:rsidRPr="00BA6473">
        <w:rPr>
          <w:i/>
        </w:rPr>
        <w:t>Hürriyet</w:t>
      </w:r>
      <w:r w:rsidRPr="00CC0E10">
        <w:t>,</w:t>
      </w:r>
      <w:r>
        <w:t xml:space="preserve"> 26.1.2016,</w:t>
      </w:r>
      <w:r w:rsidRPr="00CC0E10">
        <w:t xml:space="preserve"> http://www.hurriyet.com.tr/</w:t>
      </w:r>
    </w:p>
  </w:footnote>
  <w:footnote w:id="46">
    <w:p w:rsidR="006E173E" w:rsidRDefault="006E173E">
      <w:pPr>
        <w:pStyle w:val="Funotentext"/>
      </w:pPr>
      <w:r>
        <w:rPr>
          <w:rStyle w:val="Funotenzeichen"/>
        </w:rPr>
        <w:footnoteRef/>
      </w:r>
      <w:r>
        <w:t xml:space="preserve"> “Başbakan Erdoğan: Anayasa Mahkemesi Kararına Saygı Duymuyorum”, </w:t>
      </w:r>
      <w:r w:rsidRPr="00FA139B">
        <w:rPr>
          <w:i/>
        </w:rPr>
        <w:t>CNN Türk</w:t>
      </w:r>
      <w:r>
        <w:t>, 4.4.2014, www.cnnturk.com.</w:t>
      </w:r>
    </w:p>
  </w:footnote>
  <w:footnote w:id="47">
    <w:p w:rsidR="006E173E" w:rsidRDefault="006E173E">
      <w:pPr>
        <w:pStyle w:val="Funotentext"/>
      </w:pPr>
      <w:r>
        <w:rPr>
          <w:rStyle w:val="Funotenzeichen"/>
        </w:rPr>
        <w:footnoteRef/>
      </w:r>
      <w:r>
        <w:t xml:space="preserve"> “</w:t>
      </w:r>
      <w:r w:rsidRPr="00E02275">
        <w:t>MHP Genel Başkanı Bahçeli: Cumhur İttifakı milli beka ve huzur için büyük bir ihtiyaçtır</w:t>
      </w:r>
      <w:r>
        <w:t xml:space="preserve">”, </w:t>
      </w:r>
      <w:r w:rsidRPr="00FA139B">
        <w:rPr>
          <w:i/>
        </w:rPr>
        <w:t>Anadolu Ajansı</w:t>
      </w:r>
      <w:r>
        <w:t>, 3.5.2018, www.aa.com.tr.</w:t>
      </w:r>
    </w:p>
  </w:footnote>
  <w:footnote w:id="48">
    <w:p w:rsidR="006E173E" w:rsidRDefault="006E173E">
      <w:pPr>
        <w:pStyle w:val="Funotentext"/>
      </w:pPr>
      <w:r>
        <w:rPr>
          <w:rStyle w:val="Funotenzeichen"/>
        </w:rPr>
        <w:footnoteRef/>
      </w:r>
      <w:r>
        <w:t xml:space="preserve"> İnsan Hakları Avrupa Mahkemesi, </w:t>
      </w:r>
      <w:r w:rsidRPr="00FC499D">
        <w:rPr>
          <w:i/>
        </w:rPr>
        <w:t>Selahattin Demirtaş v. Türkiye</w:t>
      </w:r>
      <w:r>
        <w:t>, 14305/17, 20.11.2018, § 257-274.</w:t>
      </w:r>
    </w:p>
  </w:footnote>
  <w:footnote w:id="49">
    <w:p w:rsidR="006E173E" w:rsidRDefault="006E173E">
      <w:pPr>
        <w:pStyle w:val="Funotentext"/>
      </w:pPr>
      <w:r>
        <w:rPr>
          <w:rStyle w:val="Funotenzeichen"/>
        </w:rPr>
        <w:footnoteRef/>
      </w:r>
      <w:r>
        <w:t xml:space="preserve"> İnsan Hakları Avrupa Mahkemesi, </w:t>
      </w:r>
      <w:r w:rsidRPr="00FC499D">
        <w:rPr>
          <w:i/>
        </w:rPr>
        <w:t>Kavala v. Türkiye</w:t>
      </w:r>
      <w:r w:rsidRPr="00E02275">
        <w:t>, 28749/18, 10.12.2019</w:t>
      </w:r>
      <w:r>
        <w:t>, § 215-232.</w:t>
      </w:r>
    </w:p>
  </w:footnote>
  <w:footnote w:id="50">
    <w:p w:rsidR="006E173E" w:rsidRDefault="006E173E">
      <w:pPr>
        <w:pStyle w:val="Funotentext"/>
      </w:pPr>
      <w:r>
        <w:rPr>
          <w:rStyle w:val="Funotenzeichen"/>
        </w:rPr>
        <w:footnoteRef/>
      </w:r>
      <w:r>
        <w:t xml:space="preserve"> Kemal Gözler, </w:t>
      </w:r>
      <w:r w:rsidRPr="00B660D7">
        <w:rPr>
          <w:i/>
        </w:rPr>
        <w:t>“İstanbul 14. Ağır Ceza Mahkemesi Anayasa Mahkemesine Karşı”</w:t>
      </w:r>
      <w:r>
        <w:t xml:space="preserve">, 15.10.2020, </w:t>
      </w:r>
      <w:r w:rsidRPr="00C119A4">
        <w:t>www.anayasa.gen.tr</w:t>
      </w:r>
      <w:r>
        <w:t>.</w:t>
      </w:r>
    </w:p>
  </w:footnote>
  <w:footnote w:id="51">
    <w:p w:rsidR="006E173E" w:rsidRDefault="006E173E">
      <w:pPr>
        <w:pStyle w:val="Funotentext"/>
      </w:pPr>
      <w:r>
        <w:rPr>
          <w:rStyle w:val="Funotenzeichen"/>
        </w:rPr>
        <w:footnoteRef/>
      </w:r>
      <w:r>
        <w:t xml:space="preserve"> </w:t>
      </w:r>
      <w:r w:rsidR="007A2605">
        <w:t xml:space="preserve">AYM, </w:t>
      </w:r>
      <w:r w:rsidR="007A2605" w:rsidRPr="007A2605">
        <w:rPr>
          <w:i/>
        </w:rPr>
        <w:t>Kadri Enis Berberoğlu (3) Başvurusu</w:t>
      </w:r>
      <w:r w:rsidR="007A2605">
        <w:rPr>
          <w:i/>
        </w:rPr>
        <w:t xml:space="preserve"> </w:t>
      </w:r>
      <w:r w:rsidR="007A2605" w:rsidRPr="007A2605">
        <w:t>[GK]</w:t>
      </w:r>
      <w:r w:rsidR="007A2605">
        <w:t>, 2020/32949, 21.</w:t>
      </w:r>
      <w:r w:rsidR="007A2605" w:rsidRPr="007A2605">
        <w:t>1</w:t>
      </w:r>
      <w:r w:rsidR="007A2605">
        <w:t>.</w:t>
      </w:r>
      <w:r w:rsidR="007A2605" w:rsidRPr="007A2605">
        <w:t xml:space="preserve">2021; </w:t>
      </w:r>
      <w:r w:rsidR="007A2605" w:rsidRPr="007A2605">
        <w:rPr>
          <w:i/>
        </w:rPr>
        <w:t>Şahin Alpay (2) Başvurusu</w:t>
      </w:r>
      <w:r w:rsidR="007A2605" w:rsidRPr="007A2605">
        <w:t xml:space="preserve"> [GK], </w:t>
      </w:r>
      <w:r w:rsidR="007A2605">
        <w:t>.</w:t>
      </w:r>
      <w:r w:rsidR="007A2605" w:rsidRPr="007A2605">
        <w:t>2018/3007, 15</w:t>
      </w:r>
      <w:r w:rsidR="007A2605">
        <w:t>.</w:t>
      </w:r>
      <w:r w:rsidR="007A2605" w:rsidRPr="007A2605">
        <w:t>3</w:t>
      </w:r>
      <w:r w:rsidR="007A2605">
        <w:t>.2018;</w:t>
      </w:r>
      <w:r w:rsidR="007A2605" w:rsidRPr="007A2605">
        <w:t xml:space="preserve"> </w:t>
      </w:r>
      <w:r w:rsidR="007A2605" w:rsidRPr="007A2605">
        <w:rPr>
          <w:i/>
        </w:rPr>
        <w:t>Aligül Alkaya ve Diğerleri (2) Başvurusu</w:t>
      </w:r>
      <w:r w:rsidR="007A2605">
        <w:t xml:space="preserve">, 2016/12506, 7.11.2019. Ayrıca bkz. </w:t>
      </w:r>
      <w:r w:rsidRPr="00CC0E10">
        <w:t xml:space="preserve">Kemal Gözler, </w:t>
      </w:r>
      <w:r w:rsidRPr="00324AB6">
        <w:rPr>
          <w:i/>
        </w:rPr>
        <w:t xml:space="preserve">“1982 Anayasası </w:t>
      </w:r>
      <w:r w:rsidR="007A2605">
        <w:rPr>
          <w:i/>
        </w:rPr>
        <w:t>.</w:t>
      </w:r>
      <w:r w:rsidRPr="00324AB6">
        <w:rPr>
          <w:i/>
        </w:rPr>
        <w:t>Hala Yürürlükte Mi? Anayasasızlaştırma Üzerine Bir Deneme”</w:t>
      </w:r>
      <w:r>
        <w:t>, Versiyon: 2,  s. 4-8, 16-19.</w:t>
      </w:r>
    </w:p>
  </w:footnote>
  <w:footnote w:id="52">
    <w:p w:rsidR="006E173E" w:rsidRDefault="006E173E">
      <w:pPr>
        <w:pStyle w:val="Funotentext"/>
      </w:pPr>
      <w:r>
        <w:rPr>
          <w:rStyle w:val="Funotenzeichen"/>
        </w:rPr>
        <w:footnoteRef/>
      </w:r>
      <w:r>
        <w:t xml:space="preserve"> Cumhurbaşkanı Başdanışmanlığı görevini yürüten Mehmet Uçum’un, cumhurbaşkanın temsili değil, organik bir lider olduğuna dair ısrarlı vurguları için bkz. “</w:t>
      </w:r>
      <w:r w:rsidRPr="00423372">
        <w:t>Erdoğan, Temsili Bir Lider Değildir</w:t>
      </w:r>
      <w:r>
        <w:t xml:space="preserve">”, </w:t>
      </w:r>
      <w:r w:rsidRPr="00B41F48">
        <w:rPr>
          <w:i/>
        </w:rPr>
        <w:t>Habertürk</w:t>
      </w:r>
      <w:r>
        <w:t>, 18.10.2016, www.haberturk.com, “</w:t>
      </w:r>
      <w:r w:rsidRPr="00423372">
        <w:t>Cumhurbaşkanı Başdanışmanı: Demokratik standartlarını geliştiren tek ülke Türkiye!</w:t>
      </w:r>
      <w:r>
        <w:t xml:space="preserve">”, </w:t>
      </w:r>
      <w:r w:rsidRPr="00423372">
        <w:rPr>
          <w:i/>
        </w:rPr>
        <w:t>T24</w:t>
      </w:r>
      <w:r>
        <w:t>, 28.3.2017, www.t24.com.tr.</w:t>
      </w:r>
    </w:p>
  </w:footnote>
  <w:footnote w:id="53">
    <w:p w:rsidR="006E173E" w:rsidRDefault="006E173E">
      <w:pPr>
        <w:pStyle w:val="Funotentext"/>
      </w:pPr>
      <w:r>
        <w:rPr>
          <w:rStyle w:val="Funotenzeichen"/>
        </w:rPr>
        <w:footnoteRef/>
      </w:r>
      <w:r>
        <w:t xml:space="preserve"> Selin Esen, “</w:t>
      </w:r>
      <w:r w:rsidRPr="007A39CF">
        <w:t>2016 Anayasa Değişikl</w:t>
      </w:r>
      <w:r>
        <w:t xml:space="preserve">ik Teklifinin Değerlendirilmesi”, </w:t>
      </w:r>
      <w:r w:rsidRPr="007A39CF">
        <w:rPr>
          <w:i/>
        </w:rPr>
        <w:t>Ankara Barosu Dergisi</w:t>
      </w:r>
      <w:r>
        <w:t>, Yıl: 74, Sayı: 4, 2016, s. 71</w:t>
      </w:r>
    </w:p>
  </w:footnote>
  <w:footnote w:id="54">
    <w:p w:rsidR="006E173E" w:rsidRDefault="006E173E">
      <w:pPr>
        <w:pStyle w:val="Funotentext"/>
      </w:pPr>
      <w:r>
        <w:rPr>
          <w:rStyle w:val="Funotenzeichen"/>
        </w:rPr>
        <w:footnoteRef/>
      </w:r>
      <w:r>
        <w:t xml:space="preserve"> İbrahim Kaboğlu, “Türkiye Cumhuriyeti Anayasasında Değişiklik Yapılmasına Dair Kanun Teklifi (10 Aralık 2016)”, </w:t>
      </w:r>
      <w:r w:rsidRPr="007A39CF">
        <w:rPr>
          <w:i/>
        </w:rPr>
        <w:t>Ankara Barosu Dergisi</w:t>
      </w:r>
      <w:r>
        <w:t>, Yıl: 74, Sayı: 4, 2016, s. 43.</w:t>
      </w:r>
    </w:p>
  </w:footnote>
  <w:footnote w:id="55">
    <w:p w:rsidR="006E173E" w:rsidRDefault="006E173E">
      <w:pPr>
        <w:pStyle w:val="Funotentext"/>
      </w:pPr>
      <w:r>
        <w:rPr>
          <w:rStyle w:val="Funotenzeichen"/>
        </w:rPr>
        <w:footnoteRef/>
      </w:r>
      <w:r>
        <w:t xml:space="preserve"> Murat Sevinç, “</w:t>
      </w:r>
      <w:r w:rsidRPr="00837C01">
        <w:t>başkanlık olmayan, yarı başkanlık olmayan, parlamenter olmayan</w:t>
      </w:r>
      <w:r>
        <w:t>”</w:t>
      </w:r>
      <w:r w:rsidR="007A2605">
        <w:t xml:space="preserve"> bu</w:t>
      </w:r>
      <w:r w:rsidRPr="00837C01">
        <w:t xml:space="preserve"> </w:t>
      </w:r>
      <w:r w:rsidR="007A2605">
        <w:t xml:space="preserve">sistemin, “Osmanlı-Türk anayasalcılığı[nın] tarihsel serüveni”, diğer bir deyişle dayandığı toplumsal ve siyasi birikim dikkate alındığında, </w:t>
      </w:r>
      <w:r>
        <w:t xml:space="preserve"> “Türk tipi” olarak nitelendirilmesinin hatalı olacağını vurgular. Murat Sevinç, “</w:t>
      </w:r>
      <w:r w:rsidRPr="00837C01">
        <w:t>Bu sistemin sürme ihtimali yok!</w:t>
      </w:r>
      <w:r>
        <w:t xml:space="preserve">”, </w:t>
      </w:r>
      <w:r w:rsidRPr="006968A3">
        <w:rPr>
          <w:i/>
        </w:rPr>
        <w:t>Gazete Duvar</w:t>
      </w:r>
      <w:r>
        <w:t xml:space="preserve">, 20.01.2020,  </w:t>
      </w:r>
      <w:r w:rsidRPr="00570AD4">
        <w:t>www.gazeteduvar.com.</w:t>
      </w:r>
    </w:p>
  </w:footnote>
  <w:footnote w:id="56">
    <w:p w:rsidR="006E173E" w:rsidRDefault="006E173E">
      <w:pPr>
        <w:pStyle w:val="Funotentext"/>
      </w:pPr>
      <w:r>
        <w:rPr>
          <w:rStyle w:val="Funotenzeichen"/>
        </w:rPr>
        <w:footnoteRef/>
      </w:r>
      <w:r>
        <w:t xml:space="preserve"> Kemal Gözler, </w:t>
      </w:r>
      <w:r w:rsidRPr="00B660D7">
        <w:rPr>
          <w:i/>
        </w:rPr>
        <w:t>“</w:t>
      </w:r>
      <w:r>
        <w:rPr>
          <w:i/>
        </w:rPr>
        <w:t>Elveda Anayasa Mahkemesi, İrfan Fidan Olayı</w:t>
      </w:r>
      <w:r w:rsidRPr="00B660D7">
        <w:rPr>
          <w:i/>
        </w:rPr>
        <w:t>”</w:t>
      </w:r>
      <w:r>
        <w:t xml:space="preserve">, 23.1.2021, </w:t>
      </w:r>
      <w:r w:rsidRPr="00C119A4">
        <w:t>www.anayasa.gen.tr</w:t>
      </w:r>
      <w:r>
        <w:t>.</w:t>
      </w:r>
    </w:p>
  </w:footnote>
  <w:footnote w:id="57">
    <w:p w:rsidR="006E173E" w:rsidRDefault="006E173E" w:rsidP="00327E8C">
      <w:pPr>
        <w:pStyle w:val="Funotentext"/>
      </w:pPr>
      <w:r>
        <w:rPr>
          <w:rStyle w:val="Funotenzeichen"/>
        </w:rPr>
        <w:footnoteRef/>
      </w:r>
      <w:r>
        <w:t xml:space="preserve"> Türk tipi başkanlık sisteminin ana hatlarına ve sorunlu yanlarına dair değerlendirmeler için ayrıca bkz. Kemal Gözler, “Elveda Kuvvetler Ayrılığı, Elveda Anayasa, 10 Aralık 2016 Tarihli Anayasa Değişikliği Teklifi Üzerine Bir Eleştiri”, </w:t>
      </w:r>
      <w:r w:rsidRPr="007A39CF">
        <w:rPr>
          <w:i/>
        </w:rPr>
        <w:t>Ankara Barosu Dergisi</w:t>
      </w:r>
      <w:r>
        <w:t xml:space="preserve">, Yıl: 74, Sayı: 4, 2016, s. 25-36; Levent Gönenç, Ali Ersoy Kontacı, “2017 Tarihli Anayasa Değişikliği Sonrasında Yasama-Yürütme İlişkileri”, </w:t>
      </w:r>
      <w:r w:rsidRPr="007A39CF">
        <w:rPr>
          <w:i/>
        </w:rPr>
        <w:t>Türkiye Barolar Birliği Dergisi</w:t>
      </w:r>
      <w:r>
        <w:t>, Sayı: 145, 2019, s. 53-79.</w:t>
      </w:r>
    </w:p>
  </w:footnote>
  <w:footnote w:id="58">
    <w:p w:rsidR="006E173E" w:rsidRDefault="006E173E">
      <w:pPr>
        <w:pStyle w:val="Funotentext"/>
      </w:pPr>
      <w:r>
        <w:rPr>
          <w:rStyle w:val="Funotenzeichen"/>
        </w:rPr>
        <w:footnoteRef/>
      </w:r>
      <w:r>
        <w:t xml:space="preserve"> Ece Göztepe, “</w:t>
      </w:r>
      <w:r w:rsidRPr="00D66047">
        <w:t>Mutlakî cumhurbaşkanlığı geliyor</w:t>
      </w:r>
      <w:r>
        <w:t xml:space="preserve">”, </w:t>
      </w:r>
      <w:r w:rsidRPr="006968A3">
        <w:rPr>
          <w:i/>
        </w:rPr>
        <w:t>Gazete Duvar</w:t>
      </w:r>
      <w:r>
        <w:t xml:space="preserve">, 26.12.2016,  </w:t>
      </w:r>
      <w:r w:rsidRPr="00570AD4">
        <w:t>www.gazeteduvar.com.</w:t>
      </w:r>
    </w:p>
  </w:footnote>
  <w:footnote w:id="59">
    <w:p w:rsidR="006E173E" w:rsidRDefault="006E173E">
      <w:pPr>
        <w:pStyle w:val="Funotentext"/>
      </w:pPr>
      <w:r>
        <w:rPr>
          <w:rStyle w:val="Funotenzeichen"/>
        </w:rPr>
        <w:footnoteRef/>
      </w:r>
      <w:r>
        <w:t xml:space="preserve"> Serap Yazıcı, “2017 Anayasa Değişikliği: Türkiye’de Başkanlık Sistemine Geçiş”, </w:t>
      </w:r>
      <w:r w:rsidRPr="001C0C83">
        <w:rPr>
          <w:i/>
        </w:rPr>
        <w:t>Prof. Dr. Nami Çağan Anısına Armağan</w:t>
      </w:r>
      <w:r>
        <w:t>, Atılım Üniversitesi Hukuk Fakültesi Yayınları, 2020, s. 815.</w:t>
      </w:r>
    </w:p>
  </w:footnote>
  <w:footnote w:id="60">
    <w:p w:rsidR="007B7519" w:rsidRPr="00196A5E" w:rsidRDefault="007B7519" w:rsidP="007B7519">
      <w:pPr>
        <w:pStyle w:val="Funotentext"/>
      </w:pPr>
      <w:r>
        <w:rPr>
          <w:rStyle w:val="Funotenzeichen"/>
        </w:rPr>
        <w:footnoteRef/>
      </w:r>
      <w:r>
        <w:t xml:space="preserve"> İl İdaresi Kanunu, Kanun No: 5442, Md. 9, (</w:t>
      </w:r>
      <w:r w:rsidRPr="00196A5E">
        <w:t>Anayasada Yapılan Değişikliklere Uyum Sağlanması Amacıyla Bazı Kanun ve Kanun Hükmünde Kararnamelerde Değişiklik Yapılması Hakkında Kanun Hükmünde Kararname, KHK/703</w:t>
      </w:r>
      <w:r>
        <w:t>, Resmi Gazete: 30473, 9.7.2018, Md. 138)</w:t>
      </w:r>
    </w:p>
  </w:footnote>
  <w:footnote w:id="61">
    <w:p w:rsidR="00C573E5" w:rsidRDefault="00C573E5" w:rsidP="00C573E5">
      <w:pPr>
        <w:pStyle w:val="Funotentext"/>
      </w:pPr>
      <w:r>
        <w:rPr>
          <w:rStyle w:val="Funotenzeichen"/>
        </w:rPr>
        <w:footnoteRef/>
      </w:r>
      <w:r>
        <w:t xml:space="preserve"> Ozan Zengin, “Cumhurbaşkanlığı Hükûmet Sistemi ve İdari Yapıya Etkisi”, </w:t>
      </w:r>
      <w:r w:rsidRPr="00D10855">
        <w:rPr>
          <w:i/>
        </w:rPr>
        <w:t>Emek Araştırma Dergisi</w:t>
      </w:r>
      <w:r>
        <w:t>, Cilt: 10, Sayı: 15, 2019, s. 10-18.</w:t>
      </w:r>
    </w:p>
  </w:footnote>
  <w:footnote w:id="62">
    <w:p w:rsidR="007B7519" w:rsidRDefault="007B7519" w:rsidP="007B7519">
      <w:pPr>
        <w:pStyle w:val="Funotentext"/>
      </w:pPr>
      <w:r>
        <w:rPr>
          <w:rStyle w:val="Funotenzeichen"/>
        </w:rPr>
        <w:footnoteRef/>
      </w:r>
      <w:r>
        <w:t xml:space="preserve"> Süha Oğuz Albayrak, “</w:t>
      </w:r>
      <w:r w:rsidRPr="00C573E5">
        <w:t>Türkiye’de Üst Ka</w:t>
      </w:r>
      <w:r>
        <w:t>deme Kamu Yöneticiliğine Atanma”,</w:t>
      </w:r>
      <w:r w:rsidRPr="00C573E5">
        <w:t xml:space="preserve"> </w:t>
      </w:r>
      <w:r w:rsidRPr="00C573E5">
        <w:rPr>
          <w:i/>
        </w:rPr>
        <w:t>Memleket Siyaset Yönetim</w:t>
      </w:r>
      <w:r w:rsidRPr="00C573E5">
        <w:t>, C</w:t>
      </w:r>
      <w:r>
        <w:t>ilt: 15, Sayı: 33, s. 136.</w:t>
      </w:r>
    </w:p>
  </w:footnote>
  <w:footnote w:id="63">
    <w:p w:rsidR="007B7519" w:rsidRPr="00D750F2" w:rsidRDefault="007B7519" w:rsidP="00D750F2">
      <w:pPr>
        <w:pStyle w:val="Funotentext"/>
      </w:pPr>
      <w:r>
        <w:rPr>
          <w:rStyle w:val="Funotenzeichen"/>
        </w:rPr>
        <w:footnoteRef/>
      </w:r>
      <w:r>
        <w:t xml:space="preserve"> </w:t>
      </w:r>
      <w:r w:rsidR="00D750F2" w:rsidRPr="00D750F2">
        <w:t>Üniversite</w:t>
      </w:r>
      <w:r w:rsidR="00CB7941">
        <w:t>lerin işleyişine dair yapılan iki düzenleme, geçmiş ile bugünü kıyaslamak için elverişli örnekler oluşturur. Bunlardan ilki, rektörlerin atanmasına ilişkindir.</w:t>
      </w:r>
      <w:r w:rsidR="00D750F2" w:rsidRPr="00D750F2">
        <w:t xml:space="preserve"> 2547 sayılı Yükseköğretim Kanunu’nda rektör</w:t>
      </w:r>
      <w:r w:rsidR="003E2D30">
        <w:t>lerin belirlenmesinde,</w:t>
      </w:r>
      <w:r w:rsidR="00D750F2" w:rsidRPr="00D750F2">
        <w:t xml:space="preserve"> seçim yerine karma işlemle atama</w:t>
      </w:r>
      <w:r w:rsidR="003E2D30">
        <w:t xml:space="preserve"> yöntemi</w:t>
      </w:r>
      <w:r w:rsidR="00D750F2" w:rsidRPr="00D750F2">
        <w:t xml:space="preserve"> öngörülmüştü. </w:t>
      </w:r>
      <w:r w:rsidR="003E2D30">
        <w:t>Ü</w:t>
      </w:r>
      <w:r w:rsidR="00D750F2" w:rsidRPr="00D750F2">
        <w:t>niversite</w:t>
      </w:r>
      <w:r w:rsidR="003E2D30">
        <w:t xml:space="preserve"> öğretim üyelerinin gerçekleştirdiği oylamada</w:t>
      </w:r>
      <w:r w:rsidR="00D750F2" w:rsidRPr="00D750F2">
        <w:t xml:space="preserve"> en yüksek oyu alan altı aday arasından üç adayın YÖK tarafından seçilmesinin ardından</w:t>
      </w:r>
      <w:r w:rsidR="003E2D30">
        <w:t>,</w:t>
      </w:r>
      <w:r w:rsidR="00D750F2" w:rsidRPr="00D750F2">
        <w:t xml:space="preserve"> bu üç adaydan biri cumhurbaşkanı tarafından atanıyordu.</w:t>
      </w:r>
      <w:r w:rsidR="003E2D30">
        <w:t xml:space="preserve"> Bu yöntem, yargısal denetimi de mümkün kılıyordu.</w:t>
      </w:r>
      <w:r w:rsidR="00D750F2" w:rsidRPr="00D750F2">
        <w:t xml:space="preserve"> Cumhurbaşkanının tek başına aldığı kararlar</w:t>
      </w:r>
      <w:r w:rsidR="003E2D30">
        <w:t>a</w:t>
      </w:r>
      <w:r w:rsidR="00D750F2" w:rsidRPr="00D750F2">
        <w:t xml:space="preserve"> karşı yargı denetimi yolu kapalı olmasına rağmen Danıştay</w:t>
      </w:r>
      <w:r w:rsidR="003E2D30">
        <w:t>,</w:t>
      </w:r>
      <w:r w:rsidR="00D750F2" w:rsidRPr="00D750F2">
        <w:t xml:space="preserve"> aday belirleme sürecindeki işlemleri ayrılabilir işlem olarak denetlem</w:t>
      </w:r>
      <w:r w:rsidR="003E2D30">
        <w:t>ekte</w:t>
      </w:r>
      <w:r w:rsidR="00D750F2" w:rsidRPr="00D750F2">
        <w:t xml:space="preserve"> ve eleme işleminin esasına ilişkin denetim yapm</w:t>
      </w:r>
      <w:r w:rsidR="003E2D30">
        <w:t>aktaydı</w:t>
      </w:r>
      <w:r w:rsidR="00D750F2" w:rsidRPr="00D750F2">
        <w:t xml:space="preserve">. </w:t>
      </w:r>
      <w:r w:rsidR="003E2D30">
        <w:t xml:space="preserve">Bkz. Danıştay 8. Daire, </w:t>
      </w:r>
      <w:r w:rsidR="003E2D30" w:rsidRPr="003E2D30">
        <w:rPr>
          <w:i/>
        </w:rPr>
        <w:t>E. 1994/7723, K. 1995/3624</w:t>
      </w:r>
      <w:r w:rsidR="003E2D30">
        <w:t xml:space="preserve">, </w:t>
      </w:r>
      <w:r w:rsidR="003E2D30" w:rsidRPr="00D750F2">
        <w:t>14.11.1995</w:t>
      </w:r>
      <w:r w:rsidR="003E2D30">
        <w:t>.</w:t>
      </w:r>
      <w:r w:rsidR="00D750F2" w:rsidRPr="00D750F2">
        <w:t xml:space="preserve"> 2017</w:t>
      </w:r>
      <w:r w:rsidR="003E2D30">
        <w:t>’deki</w:t>
      </w:r>
      <w:r w:rsidR="00D750F2" w:rsidRPr="00D750F2">
        <w:t xml:space="preserve"> Anayasa değişikliği sonrasında </w:t>
      </w:r>
      <w:r w:rsidR="003E2D30">
        <w:t>karma işlemle</w:t>
      </w:r>
      <w:r w:rsidR="00D750F2" w:rsidRPr="00D750F2">
        <w:t xml:space="preserve"> atama yöntemin</w:t>
      </w:r>
      <w:r w:rsidR="003E2D30">
        <w:t>den vazgeçilmesini zorunlu kılan</w:t>
      </w:r>
      <w:r w:rsidR="00D750F2" w:rsidRPr="00D750F2">
        <w:t xml:space="preserve"> yapısal bir değişiklik olmamasına rağmen</w:t>
      </w:r>
      <w:r w:rsidR="003E2D30">
        <w:t>,</w:t>
      </w:r>
      <w:r w:rsidR="00D750F2" w:rsidRPr="00D750F2">
        <w:t xml:space="preserve"> 2018 yılında</w:t>
      </w:r>
      <w:r w:rsidR="003E2D30">
        <w:t xml:space="preserve"> yürürlüğe giren</w:t>
      </w:r>
      <w:r w:rsidR="00D750F2" w:rsidRPr="00D750F2">
        <w:t xml:space="preserve"> 703 sayılı KHK ile devlet üniversitelerinde rektörün cumhurbaşkanınca atanacağının belirtilmesiyle yetinilmiş, üniversitenin ya da YÖK’ün işlemin kurulmasında hiçbir işlevi kalmamıştır. Benzer şekilde, Yükseköğre</w:t>
      </w:r>
      <w:r w:rsidR="003E2D30">
        <w:t>tim Kurumları Teşkilat Kanunu</w:t>
      </w:r>
      <w:r w:rsidR="00D750F2" w:rsidRPr="00D750F2">
        <w:t xml:space="preserve"> Ek-</w:t>
      </w:r>
      <w:r w:rsidR="00CB7941">
        <w:t>M</w:t>
      </w:r>
      <w:r w:rsidR="00D750F2" w:rsidRPr="00D750F2">
        <w:t>adde 30</w:t>
      </w:r>
      <w:r w:rsidR="003E2D30">
        <w:t xml:space="preserve"> uyarınca</w:t>
      </w:r>
      <w:r w:rsidR="00D750F2" w:rsidRPr="00D750F2">
        <w:t xml:space="preserve"> fakülte kurulması “Bakanlar kurulu, Yükseköğretim Kurulu ve Milli Eğitim Bakanlığının önerisi ile”</w:t>
      </w:r>
      <w:r w:rsidR="003E2D30">
        <w:t xml:space="preserve"> mümkünken,</w:t>
      </w:r>
      <w:r w:rsidR="00D750F2" w:rsidRPr="00D750F2">
        <w:t xml:space="preserve"> yine 2018 yılında</w:t>
      </w:r>
      <w:r w:rsidR="003E2D30">
        <w:t xml:space="preserve"> yürürlüğe giren</w:t>
      </w:r>
      <w:r w:rsidR="00D750F2" w:rsidRPr="00D750F2">
        <w:t xml:space="preserve"> 700 sayılı KHK ile </w:t>
      </w:r>
      <w:r w:rsidR="003E2D30">
        <w:t>fakülte kurulması</w:t>
      </w:r>
      <w:r w:rsidR="00D750F2" w:rsidRPr="00D750F2">
        <w:t xml:space="preserve"> cumhurbaşkanının tek başına yap</w:t>
      </w:r>
      <w:r w:rsidR="003E2D30">
        <w:t>acağı</w:t>
      </w:r>
      <w:r w:rsidR="00D750F2" w:rsidRPr="00D750F2">
        <w:t xml:space="preserve"> bir işlem haline ge</w:t>
      </w:r>
      <w:r w:rsidR="003E2D30">
        <w:t>tirilmiştir</w:t>
      </w:r>
      <w:r w:rsidR="00D750F2" w:rsidRPr="00D750F2">
        <w:t>.</w:t>
      </w:r>
    </w:p>
  </w:footnote>
  <w:footnote w:id="64">
    <w:p w:rsidR="006E173E" w:rsidRDefault="006E173E">
      <w:pPr>
        <w:pStyle w:val="Funotentext"/>
      </w:pPr>
      <w:r>
        <w:rPr>
          <w:rStyle w:val="Funotenzeichen"/>
        </w:rPr>
        <w:footnoteRef/>
      </w:r>
      <w:r>
        <w:t xml:space="preserve"> Cumhurbaşkanı Kararı: 3928, Resmi Gazete: 31470, 30.4.2021. </w:t>
      </w:r>
    </w:p>
  </w:footnote>
  <w:footnote w:id="65">
    <w:p w:rsidR="006E173E" w:rsidRDefault="006E173E">
      <w:pPr>
        <w:pStyle w:val="Funotentext"/>
      </w:pPr>
      <w:r>
        <w:rPr>
          <w:rStyle w:val="Funotenzeichen"/>
        </w:rPr>
        <w:footnoteRef/>
      </w:r>
      <w:r>
        <w:t xml:space="preserve"> Cumhurbaşkanı Kararı: 3519, Resmi Gazete: 31387, 6.2.2021.</w:t>
      </w:r>
    </w:p>
  </w:footnote>
  <w:footnote w:id="66">
    <w:p w:rsidR="006E173E" w:rsidRDefault="006E173E" w:rsidP="00E43B40">
      <w:pPr>
        <w:pStyle w:val="Funotentext"/>
      </w:pPr>
      <w:r>
        <w:rPr>
          <w:rStyle w:val="Funotenzeichen"/>
        </w:rPr>
        <w:footnoteRef/>
      </w:r>
      <w:r>
        <w:t xml:space="preserve"> Cumhurbaşkanı Kararı: 2021/16, Resmi Gazete: 31352, 2.1.2021.</w:t>
      </w:r>
    </w:p>
  </w:footnote>
  <w:footnote w:id="67">
    <w:p w:rsidR="006E173E" w:rsidRDefault="006E173E">
      <w:pPr>
        <w:pStyle w:val="Funotentext"/>
      </w:pPr>
      <w:r>
        <w:rPr>
          <w:rStyle w:val="Funotenzeichen"/>
        </w:rPr>
        <w:footnoteRef/>
      </w:r>
      <w:r>
        <w:t xml:space="preserve"> Bülent Tanör, </w:t>
      </w:r>
      <w:r w:rsidRPr="00D57DB3">
        <w:rPr>
          <w:i/>
        </w:rPr>
        <w:t>Türkiye’nin İnsan Hakları Sorunu</w:t>
      </w:r>
      <w:r>
        <w:t>, s. 337.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903F7"/>
    <w:multiLevelType w:val="hybridMultilevel"/>
    <w:tmpl w:val="4F085DC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74A2CC3"/>
    <w:multiLevelType w:val="hybridMultilevel"/>
    <w:tmpl w:val="E71826E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CB469DA"/>
    <w:multiLevelType w:val="hybridMultilevel"/>
    <w:tmpl w:val="257A1FF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6C439FE"/>
    <w:multiLevelType w:val="hybridMultilevel"/>
    <w:tmpl w:val="FC8AE68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3BA06B7"/>
    <w:multiLevelType w:val="hybridMultilevel"/>
    <w:tmpl w:val="AFA2562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1B2"/>
    <w:rsid w:val="0000367C"/>
    <w:rsid w:val="0000546F"/>
    <w:rsid w:val="00013051"/>
    <w:rsid w:val="0003055A"/>
    <w:rsid w:val="00042710"/>
    <w:rsid w:val="00043726"/>
    <w:rsid w:val="0004568A"/>
    <w:rsid w:val="00046696"/>
    <w:rsid w:val="0004683B"/>
    <w:rsid w:val="00063C77"/>
    <w:rsid w:val="00070AE1"/>
    <w:rsid w:val="00072CFB"/>
    <w:rsid w:val="00086AE3"/>
    <w:rsid w:val="00087EC0"/>
    <w:rsid w:val="00094D90"/>
    <w:rsid w:val="000C3095"/>
    <w:rsid w:val="000C40D7"/>
    <w:rsid w:val="000C575B"/>
    <w:rsid w:val="000C7D2D"/>
    <w:rsid w:val="000E24E8"/>
    <w:rsid w:val="000F25FF"/>
    <w:rsid w:val="00104073"/>
    <w:rsid w:val="0010458A"/>
    <w:rsid w:val="00106D6A"/>
    <w:rsid w:val="00117AFB"/>
    <w:rsid w:val="00130409"/>
    <w:rsid w:val="001311E3"/>
    <w:rsid w:val="00151BD5"/>
    <w:rsid w:val="00153F13"/>
    <w:rsid w:val="001640E6"/>
    <w:rsid w:val="001723EF"/>
    <w:rsid w:val="00184994"/>
    <w:rsid w:val="00190DAA"/>
    <w:rsid w:val="00191387"/>
    <w:rsid w:val="00191CE1"/>
    <w:rsid w:val="001958F9"/>
    <w:rsid w:val="00196A5E"/>
    <w:rsid w:val="001B1F63"/>
    <w:rsid w:val="001B46C8"/>
    <w:rsid w:val="001C0C83"/>
    <w:rsid w:val="001C46E9"/>
    <w:rsid w:val="001D5D71"/>
    <w:rsid w:val="001E2A65"/>
    <w:rsid w:val="001E2CA5"/>
    <w:rsid w:val="001E5513"/>
    <w:rsid w:val="001F78F8"/>
    <w:rsid w:val="00200400"/>
    <w:rsid w:val="00200829"/>
    <w:rsid w:val="002014FB"/>
    <w:rsid w:val="00216377"/>
    <w:rsid w:val="00224EDD"/>
    <w:rsid w:val="002444F1"/>
    <w:rsid w:val="00244DDD"/>
    <w:rsid w:val="00245FC9"/>
    <w:rsid w:val="00250DDB"/>
    <w:rsid w:val="00260652"/>
    <w:rsid w:val="002644A5"/>
    <w:rsid w:val="00264F3A"/>
    <w:rsid w:val="0026612A"/>
    <w:rsid w:val="0026704D"/>
    <w:rsid w:val="002679E3"/>
    <w:rsid w:val="002744A0"/>
    <w:rsid w:val="00284755"/>
    <w:rsid w:val="00284D42"/>
    <w:rsid w:val="002A3268"/>
    <w:rsid w:val="002B476B"/>
    <w:rsid w:val="002B7EF3"/>
    <w:rsid w:val="002C15C6"/>
    <w:rsid w:val="002C41D7"/>
    <w:rsid w:val="002C422B"/>
    <w:rsid w:val="002C795B"/>
    <w:rsid w:val="002D07B0"/>
    <w:rsid w:val="002D09AE"/>
    <w:rsid w:val="002D0B2F"/>
    <w:rsid w:val="002D4899"/>
    <w:rsid w:val="002E7331"/>
    <w:rsid w:val="002F3765"/>
    <w:rsid w:val="002F701E"/>
    <w:rsid w:val="002F74E1"/>
    <w:rsid w:val="00301941"/>
    <w:rsid w:val="003022D9"/>
    <w:rsid w:val="003026A7"/>
    <w:rsid w:val="00305E2F"/>
    <w:rsid w:val="0031124C"/>
    <w:rsid w:val="00320B41"/>
    <w:rsid w:val="0032194D"/>
    <w:rsid w:val="00324AB6"/>
    <w:rsid w:val="00326553"/>
    <w:rsid w:val="00327E8C"/>
    <w:rsid w:val="00345F27"/>
    <w:rsid w:val="003561F6"/>
    <w:rsid w:val="00357856"/>
    <w:rsid w:val="00360413"/>
    <w:rsid w:val="00362133"/>
    <w:rsid w:val="003628EF"/>
    <w:rsid w:val="003647C4"/>
    <w:rsid w:val="00373472"/>
    <w:rsid w:val="00380220"/>
    <w:rsid w:val="00385B3E"/>
    <w:rsid w:val="00387579"/>
    <w:rsid w:val="00393922"/>
    <w:rsid w:val="003A37A7"/>
    <w:rsid w:val="003A6F94"/>
    <w:rsid w:val="003A7398"/>
    <w:rsid w:val="003B722F"/>
    <w:rsid w:val="003C25FB"/>
    <w:rsid w:val="003D38AF"/>
    <w:rsid w:val="003D4824"/>
    <w:rsid w:val="003D7D2D"/>
    <w:rsid w:val="003E2D30"/>
    <w:rsid w:val="003E3165"/>
    <w:rsid w:val="003E7748"/>
    <w:rsid w:val="0040356E"/>
    <w:rsid w:val="004103E3"/>
    <w:rsid w:val="00420751"/>
    <w:rsid w:val="00423372"/>
    <w:rsid w:val="004236B2"/>
    <w:rsid w:val="00464CEA"/>
    <w:rsid w:val="00467DAC"/>
    <w:rsid w:val="00474D18"/>
    <w:rsid w:val="004B7077"/>
    <w:rsid w:val="004B7EE4"/>
    <w:rsid w:val="004C7C6E"/>
    <w:rsid w:val="004E360F"/>
    <w:rsid w:val="004F3206"/>
    <w:rsid w:val="004F69E9"/>
    <w:rsid w:val="005026CD"/>
    <w:rsid w:val="0050792E"/>
    <w:rsid w:val="0052504C"/>
    <w:rsid w:val="00526DDC"/>
    <w:rsid w:val="00540A1E"/>
    <w:rsid w:val="00540BC1"/>
    <w:rsid w:val="00541E52"/>
    <w:rsid w:val="00550024"/>
    <w:rsid w:val="00552251"/>
    <w:rsid w:val="00570AD4"/>
    <w:rsid w:val="0057644D"/>
    <w:rsid w:val="005912A5"/>
    <w:rsid w:val="00595018"/>
    <w:rsid w:val="005B0574"/>
    <w:rsid w:val="005C2724"/>
    <w:rsid w:val="005C5E62"/>
    <w:rsid w:val="005D7572"/>
    <w:rsid w:val="005F12C7"/>
    <w:rsid w:val="005F1714"/>
    <w:rsid w:val="005F432C"/>
    <w:rsid w:val="00603FEB"/>
    <w:rsid w:val="0061244F"/>
    <w:rsid w:val="00616959"/>
    <w:rsid w:val="00620A52"/>
    <w:rsid w:val="00646E5C"/>
    <w:rsid w:val="00651D61"/>
    <w:rsid w:val="006554B2"/>
    <w:rsid w:val="00656C60"/>
    <w:rsid w:val="00661358"/>
    <w:rsid w:val="0066475B"/>
    <w:rsid w:val="0068436F"/>
    <w:rsid w:val="006968A3"/>
    <w:rsid w:val="006A2C43"/>
    <w:rsid w:val="006B4B9C"/>
    <w:rsid w:val="006C32C2"/>
    <w:rsid w:val="006D2720"/>
    <w:rsid w:val="006D56B3"/>
    <w:rsid w:val="006D5E74"/>
    <w:rsid w:val="006D70F9"/>
    <w:rsid w:val="006E173E"/>
    <w:rsid w:val="006E6EDE"/>
    <w:rsid w:val="006F5E21"/>
    <w:rsid w:val="006F6F93"/>
    <w:rsid w:val="00700A5F"/>
    <w:rsid w:val="007060CE"/>
    <w:rsid w:val="00706D12"/>
    <w:rsid w:val="0071000B"/>
    <w:rsid w:val="007146DA"/>
    <w:rsid w:val="0072013A"/>
    <w:rsid w:val="0072614A"/>
    <w:rsid w:val="0073477D"/>
    <w:rsid w:val="007376A1"/>
    <w:rsid w:val="0074537E"/>
    <w:rsid w:val="0074622F"/>
    <w:rsid w:val="0074662B"/>
    <w:rsid w:val="007532DF"/>
    <w:rsid w:val="007577D3"/>
    <w:rsid w:val="00760BA4"/>
    <w:rsid w:val="0076253B"/>
    <w:rsid w:val="007667EA"/>
    <w:rsid w:val="007742A3"/>
    <w:rsid w:val="0077439A"/>
    <w:rsid w:val="00774FA9"/>
    <w:rsid w:val="007750A5"/>
    <w:rsid w:val="00783607"/>
    <w:rsid w:val="00786E2F"/>
    <w:rsid w:val="007A2605"/>
    <w:rsid w:val="007A39CF"/>
    <w:rsid w:val="007A6013"/>
    <w:rsid w:val="007B0BBE"/>
    <w:rsid w:val="007B7519"/>
    <w:rsid w:val="007B7D5D"/>
    <w:rsid w:val="007D4534"/>
    <w:rsid w:val="007D54E9"/>
    <w:rsid w:val="007D6660"/>
    <w:rsid w:val="007E53F9"/>
    <w:rsid w:val="007F664C"/>
    <w:rsid w:val="00804E90"/>
    <w:rsid w:val="00807FBB"/>
    <w:rsid w:val="00813F1D"/>
    <w:rsid w:val="00824FA6"/>
    <w:rsid w:val="00830F0D"/>
    <w:rsid w:val="00836548"/>
    <w:rsid w:val="00836AE1"/>
    <w:rsid w:val="00836EE0"/>
    <w:rsid w:val="00837C01"/>
    <w:rsid w:val="008426ED"/>
    <w:rsid w:val="00842E30"/>
    <w:rsid w:val="00843B1F"/>
    <w:rsid w:val="008449F3"/>
    <w:rsid w:val="00846783"/>
    <w:rsid w:val="00855DD5"/>
    <w:rsid w:val="00857783"/>
    <w:rsid w:val="00857901"/>
    <w:rsid w:val="00877994"/>
    <w:rsid w:val="008808F9"/>
    <w:rsid w:val="00880C85"/>
    <w:rsid w:val="00890BB2"/>
    <w:rsid w:val="0089260B"/>
    <w:rsid w:val="00894715"/>
    <w:rsid w:val="008A4467"/>
    <w:rsid w:val="008A490C"/>
    <w:rsid w:val="008A5C5C"/>
    <w:rsid w:val="008A7B1B"/>
    <w:rsid w:val="008B4A1F"/>
    <w:rsid w:val="008C20FE"/>
    <w:rsid w:val="008C321C"/>
    <w:rsid w:val="008C7DED"/>
    <w:rsid w:val="008D0F4B"/>
    <w:rsid w:val="008D1452"/>
    <w:rsid w:val="008D537C"/>
    <w:rsid w:val="008D5D80"/>
    <w:rsid w:val="008D695B"/>
    <w:rsid w:val="008E1D7C"/>
    <w:rsid w:val="008E7216"/>
    <w:rsid w:val="008E7C1C"/>
    <w:rsid w:val="008F16C3"/>
    <w:rsid w:val="008F31D2"/>
    <w:rsid w:val="008F33CF"/>
    <w:rsid w:val="008F5FF6"/>
    <w:rsid w:val="00902A08"/>
    <w:rsid w:val="00902CB1"/>
    <w:rsid w:val="00911D82"/>
    <w:rsid w:val="00915055"/>
    <w:rsid w:val="00915C6A"/>
    <w:rsid w:val="00923530"/>
    <w:rsid w:val="009329F1"/>
    <w:rsid w:val="0093345C"/>
    <w:rsid w:val="00933541"/>
    <w:rsid w:val="00933C1B"/>
    <w:rsid w:val="009340AB"/>
    <w:rsid w:val="009533E6"/>
    <w:rsid w:val="00957AA9"/>
    <w:rsid w:val="00962AC5"/>
    <w:rsid w:val="00964EFE"/>
    <w:rsid w:val="00965980"/>
    <w:rsid w:val="00972DEC"/>
    <w:rsid w:val="00984600"/>
    <w:rsid w:val="00993F7B"/>
    <w:rsid w:val="009A341D"/>
    <w:rsid w:val="009A6C3B"/>
    <w:rsid w:val="009C7F78"/>
    <w:rsid w:val="009D2543"/>
    <w:rsid w:val="009D58EB"/>
    <w:rsid w:val="009D6C6A"/>
    <w:rsid w:val="009E0F4E"/>
    <w:rsid w:val="00A06530"/>
    <w:rsid w:val="00A117F2"/>
    <w:rsid w:val="00A11C51"/>
    <w:rsid w:val="00A2716D"/>
    <w:rsid w:val="00A31F6A"/>
    <w:rsid w:val="00A36000"/>
    <w:rsid w:val="00A366B0"/>
    <w:rsid w:val="00A4484D"/>
    <w:rsid w:val="00A45034"/>
    <w:rsid w:val="00A47FA0"/>
    <w:rsid w:val="00A70282"/>
    <w:rsid w:val="00A7493D"/>
    <w:rsid w:val="00A7580F"/>
    <w:rsid w:val="00A80EBB"/>
    <w:rsid w:val="00A910A1"/>
    <w:rsid w:val="00AA0FA8"/>
    <w:rsid w:val="00AA2601"/>
    <w:rsid w:val="00AA37D0"/>
    <w:rsid w:val="00AA39C9"/>
    <w:rsid w:val="00AA4EB4"/>
    <w:rsid w:val="00AB1462"/>
    <w:rsid w:val="00AB4497"/>
    <w:rsid w:val="00AB615E"/>
    <w:rsid w:val="00AC77F9"/>
    <w:rsid w:val="00AD022F"/>
    <w:rsid w:val="00AE1EF7"/>
    <w:rsid w:val="00AF0261"/>
    <w:rsid w:val="00AF0D3A"/>
    <w:rsid w:val="00AF11B2"/>
    <w:rsid w:val="00B14983"/>
    <w:rsid w:val="00B40265"/>
    <w:rsid w:val="00B40D04"/>
    <w:rsid w:val="00B41F48"/>
    <w:rsid w:val="00B46F56"/>
    <w:rsid w:val="00B501E9"/>
    <w:rsid w:val="00B50F7B"/>
    <w:rsid w:val="00B53D57"/>
    <w:rsid w:val="00B579DA"/>
    <w:rsid w:val="00B614A0"/>
    <w:rsid w:val="00B6543F"/>
    <w:rsid w:val="00B660D7"/>
    <w:rsid w:val="00B67453"/>
    <w:rsid w:val="00B7225F"/>
    <w:rsid w:val="00B805BA"/>
    <w:rsid w:val="00B945C3"/>
    <w:rsid w:val="00B97045"/>
    <w:rsid w:val="00BA42F3"/>
    <w:rsid w:val="00BA6473"/>
    <w:rsid w:val="00BB2576"/>
    <w:rsid w:val="00BB65B0"/>
    <w:rsid w:val="00BC2FB2"/>
    <w:rsid w:val="00BE7BA0"/>
    <w:rsid w:val="00BF66EB"/>
    <w:rsid w:val="00C03792"/>
    <w:rsid w:val="00C102E4"/>
    <w:rsid w:val="00C119A4"/>
    <w:rsid w:val="00C1261C"/>
    <w:rsid w:val="00C15AC2"/>
    <w:rsid w:val="00C16549"/>
    <w:rsid w:val="00C23326"/>
    <w:rsid w:val="00C262F8"/>
    <w:rsid w:val="00C343EC"/>
    <w:rsid w:val="00C4285F"/>
    <w:rsid w:val="00C573E5"/>
    <w:rsid w:val="00C57509"/>
    <w:rsid w:val="00C6056E"/>
    <w:rsid w:val="00C72F5B"/>
    <w:rsid w:val="00C7456E"/>
    <w:rsid w:val="00C74E28"/>
    <w:rsid w:val="00C81170"/>
    <w:rsid w:val="00C873E1"/>
    <w:rsid w:val="00CA02DE"/>
    <w:rsid w:val="00CA43E7"/>
    <w:rsid w:val="00CB0154"/>
    <w:rsid w:val="00CB7941"/>
    <w:rsid w:val="00CC015B"/>
    <w:rsid w:val="00CD1A7D"/>
    <w:rsid w:val="00CD2371"/>
    <w:rsid w:val="00CE234A"/>
    <w:rsid w:val="00CE47CD"/>
    <w:rsid w:val="00CF152E"/>
    <w:rsid w:val="00CF1811"/>
    <w:rsid w:val="00CF20F1"/>
    <w:rsid w:val="00CF2FF8"/>
    <w:rsid w:val="00CF4438"/>
    <w:rsid w:val="00D10855"/>
    <w:rsid w:val="00D17589"/>
    <w:rsid w:val="00D21949"/>
    <w:rsid w:val="00D241F1"/>
    <w:rsid w:val="00D30BAF"/>
    <w:rsid w:val="00D324A6"/>
    <w:rsid w:val="00D331C3"/>
    <w:rsid w:val="00D336B6"/>
    <w:rsid w:val="00D4084C"/>
    <w:rsid w:val="00D46F07"/>
    <w:rsid w:val="00D503BD"/>
    <w:rsid w:val="00D52FB1"/>
    <w:rsid w:val="00D56290"/>
    <w:rsid w:val="00D57DB3"/>
    <w:rsid w:val="00D621BA"/>
    <w:rsid w:val="00D64333"/>
    <w:rsid w:val="00D66047"/>
    <w:rsid w:val="00D7166A"/>
    <w:rsid w:val="00D71F5D"/>
    <w:rsid w:val="00D742DE"/>
    <w:rsid w:val="00D750F2"/>
    <w:rsid w:val="00D82411"/>
    <w:rsid w:val="00D826D0"/>
    <w:rsid w:val="00D92347"/>
    <w:rsid w:val="00D96428"/>
    <w:rsid w:val="00DA27C9"/>
    <w:rsid w:val="00DB69C4"/>
    <w:rsid w:val="00DC23E4"/>
    <w:rsid w:val="00DC2A06"/>
    <w:rsid w:val="00DD1EBD"/>
    <w:rsid w:val="00DD327C"/>
    <w:rsid w:val="00DE5FD8"/>
    <w:rsid w:val="00DF6326"/>
    <w:rsid w:val="00DF7C34"/>
    <w:rsid w:val="00E014B0"/>
    <w:rsid w:val="00E0157F"/>
    <w:rsid w:val="00E02275"/>
    <w:rsid w:val="00E0596C"/>
    <w:rsid w:val="00E256DA"/>
    <w:rsid w:val="00E43816"/>
    <w:rsid w:val="00E43B40"/>
    <w:rsid w:val="00E525A9"/>
    <w:rsid w:val="00E52806"/>
    <w:rsid w:val="00E6013F"/>
    <w:rsid w:val="00E62FA2"/>
    <w:rsid w:val="00E7053D"/>
    <w:rsid w:val="00E772C4"/>
    <w:rsid w:val="00E7766B"/>
    <w:rsid w:val="00E83B7D"/>
    <w:rsid w:val="00EA1B09"/>
    <w:rsid w:val="00EA22D7"/>
    <w:rsid w:val="00EA335A"/>
    <w:rsid w:val="00EC1C23"/>
    <w:rsid w:val="00EC3F2B"/>
    <w:rsid w:val="00EC5586"/>
    <w:rsid w:val="00EC71E3"/>
    <w:rsid w:val="00ED016E"/>
    <w:rsid w:val="00EE2057"/>
    <w:rsid w:val="00EE7EB6"/>
    <w:rsid w:val="00EF1591"/>
    <w:rsid w:val="00F1000B"/>
    <w:rsid w:val="00F106C1"/>
    <w:rsid w:val="00F14976"/>
    <w:rsid w:val="00F212BF"/>
    <w:rsid w:val="00F214A8"/>
    <w:rsid w:val="00F31956"/>
    <w:rsid w:val="00F51D28"/>
    <w:rsid w:val="00F57B95"/>
    <w:rsid w:val="00F6106B"/>
    <w:rsid w:val="00F7572F"/>
    <w:rsid w:val="00F86068"/>
    <w:rsid w:val="00FA1020"/>
    <w:rsid w:val="00FA139B"/>
    <w:rsid w:val="00FA1948"/>
    <w:rsid w:val="00FA7FA1"/>
    <w:rsid w:val="00FB309B"/>
    <w:rsid w:val="00FC3A63"/>
    <w:rsid w:val="00FC499D"/>
    <w:rsid w:val="00FC60D9"/>
    <w:rsid w:val="00FD09EC"/>
    <w:rsid w:val="00FD1C32"/>
    <w:rsid w:val="00FD7603"/>
    <w:rsid w:val="00FD7A89"/>
    <w:rsid w:val="00FD7D1D"/>
    <w:rsid w:val="00FF0F66"/>
    <w:rsid w:val="00FF1D46"/>
    <w:rsid w:val="00FF5D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2F85E-ADA7-443C-B071-AFB164523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tr-TR"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0" w:line="240" w:lineRule="auto"/>
    </w:pPr>
  </w:style>
  <w:style w:type="paragraph" w:styleId="berschrift1">
    <w:name w:val="heading 1"/>
    <w:basedOn w:val="Standard"/>
    <w:next w:val="Standard"/>
    <w:link w:val="berschrift1Zchn"/>
    <w:uiPriority w:val="9"/>
    <w:qFormat/>
    <w:rsid w:val="00616959"/>
    <w:pPr>
      <w:keepNext/>
      <w:keepLines/>
      <w:spacing w:after="120" w:line="360" w:lineRule="auto"/>
      <w:outlineLvl w:val="0"/>
    </w:pPr>
    <w:rPr>
      <w:rFonts w:eastAsiaTheme="majorEastAsia" w:cstheme="majorBidi"/>
      <w:b/>
      <w:szCs w:val="32"/>
    </w:rPr>
  </w:style>
  <w:style w:type="paragraph" w:styleId="berschrift2">
    <w:name w:val="heading 2"/>
    <w:basedOn w:val="Standard"/>
    <w:next w:val="Standard"/>
    <w:link w:val="berschrift2Zchn"/>
    <w:uiPriority w:val="9"/>
    <w:semiHidden/>
    <w:unhideWhenUsed/>
    <w:qFormat/>
    <w:rsid w:val="0026612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D66047"/>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16959"/>
    <w:rPr>
      <w:rFonts w:eastAsiaTheme="majorEastAsia" w:cstheme="majorBidi"/>
      <w:b/>
      <w:szCs w:val="32"/>
    </w:rPr>
  </w:style>
  <w:style w:type="paragraph" w:styleId="Funotentext">
    <w:name w:val="footnote text"/>
    <w:basedOn w:val="Standard"/>
    <w:link w:val="FunotentextZchn"/>
    <w:uiPriority w:val="99"/>
    <w:unhideWhenUsed/>
    <w:rsid w:val="00957AA9"/>
    <w:rPr>
      <w:sz w:val="20"/>
      <w:szCs w:val="20"/>
    </w:rPr>
  </w:style>
  <w:style w:type="character" w:customStyle="1" w:styleId="FunotentextZchn">
    <w:name w:val="Fußnotentext Zchn"/>
    <w:basedOn w:val="Absatz-Standardschriftart"/>
    <w:link w:val="Funotentext"/>
    <w:uiPriority w:val="99"/>
    <w:rsid w:val="00957AA9"/>
    <w:rPr>
      <w:sz w:val="20"/>
      <w:szCs w:val="20"/>
    </w:rPr>
  </w:style>
  <w:style w:type="character" w:styleId="Funotenzeichen">
    <w:name w:val="footnote reference"/>
    <w:basedOn w:val="Absatz-Standardschriftart"/>
    <w:uiPriority w:val="99"/>
    <w:semiHidden/>
    <w:unhideWhenUsed/>
    <w:rsid w:val="00957AA9"/>
    <w:rPr>
      <w:vertAlign w:val="superscript"/>
    </w:rPr>
  </w:style>
  <w:style w:type="character" w:styleId="Hyperlink">
    <w:name w:val="Hyperlink"/>
    <w:basedOn w:val="Absatz-Standardschriftart"/>
    <w:uiPriority w:val="99"/>
    <w:unhideWhenUsed/>
    <w:rsid w:val="00786E2F"/>
    <w:rPr>
      <w:color w:val="0000FF"/>
      <w:u w:val="single"/>
    </w:rPr>
  </w:style>
  <w:style w:type="paragraph" w:styleId="Kopfzeile">
    <w:name w:val="header"/>
    <w:basedOn w:val="Standard"/>
    <w:link w:val="KopfzeileZchn"/>
    <w:uiPriority w:val="99"/>
    <w:unhideWhenUsed/>
    <w:rsid w:val="00902CB1"/>
    <w:pPr>
      <w:tabs>
        <w:tab w:val="center" w:pos="4536"/>
        <w:tab w:val="right" w:pos="9072"/>
      </w:tabs>
    </w:pPr>
  </w:style>
  <w:style w:type="character" w:customStyle="1" w:styleId="KopfzeileZchn">
    <w:name w:val="Kopfzeile Zchn"/>
    <w:basedOn w:val="Absatz-Standardschriftart"/>
    <w:link w:val="Kopfzeile"/>
    <w:uiPriority w:val="99"/>
    <w:rsid w:val="00902CB1"/>
  </w:style>
  <w:style w:type="paragraph" w:styleId="Fuzeile">
    <w:name w:val="footer"/>
    <w:basedOn w:val="Standard"/>
    <w:link w:val="FuzeileZchn"/>
    <w:uiPriority w:val="99"/>
    <w:unhideWhenUsed/>
    <w:rsid w:val="00902CB1"/>
    <w:pPr>
      <w:tabs>
        <w:tab w:val="center" w:pos="4536"/>
        <w:tab w:val="right" w:pos="9072"/>
      </w:tabs>
    </w:pPr>
  </w:style>
  <w:style w:type="character" w:customStyle="1" w:styleId="FuzeileZchn">
    <w:name w:val="Fußzeile Zchn"/>
    <w:basedOn w:val="Absatz-Standardschriftart"/>
    <w:link w:val="Fuzeile"/>
    <w:uiPriority w:val="99"/>
    <w:rsid w:val="00902CB1"/>
  </w:style>
  <w:style w:type="character" w:styleId="BesuchterLink">
    <w:name w:val="FollowedHyperlink"/>
    <w:basedOn w:val="Absatz-Standardschriftart"/>
    <w:uiPriority w:val="99"/>
    <w:semiHidden/>
    <w:unhideWhenUsed/>
    <w:rsid w:val="00EF1591"/>
    <w:rPr>
      <w:color w:val="954F72" w:themeColor="followedHyperlink"/>
      <w:u w:val="single"/>
    </w:rPr>
  </w:style>
  <w:style w:type="character" w:customStyle="1" w:styleId="berschrift2Zchn">
    <w:name w:val="Überschrift 2 Zchn"/>
    <w:basedOn w:val="Absatz-Standardschriftart"/>
    <w:link w:val="berschrift2"/>
    <w:uiPriority w:val="9"/>
    <w:semiHidden/>
    <w:rsid w:val="0026612A"/>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D66047"/>
    <w:rPr>
      <w:rFonts w:asciiTheme="majorHAnsi" w:eastAsiaTheme="majorEastAsia" w:hAnsiTheme="majorHAnsi" w:cstheme="majorBidi"/>
      <w:color w:val="1F4D78" w:themeColor="accent1" w:themeShade="7F"/>
      <w:szCs w:val="24"/>
    </w:rPr>
  </w:style>
  <w:style w:type="paragraph" w:styleId="Sprechblasentext">
    <w:name w:val="Balloon Text"/>
    <w:basedOn w:val="Standard"/>
    <w:link w:val="SprechblasentextZchn"/>
    <w:uiPriority w:val="99"/>
    <w:semiHidden/>
    <w:unhideWhenUsed/>
    <w:rsid w:val="007742A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742A3"/>
    <w:rPr>
      <w:rFonts w:ascii="Segoe UI" w:hAnsi="Segoe UI" w:cs="Segoe UI"/>
      <w:sz w:val="18"/>
      <w:szCs w:val="18"/>
    </w:rPr>
  </w:style>
  <w:style w:type="paragraph" w:styleId="Listenabsatz">
    <w:name w:val="List Paragraph"/>
    <w:basedOn w:val="Standard"/>
    <w:uiPriority w:val="34"/>
    <w:qFormat/>
    <w:rsid w:val="00616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1907">
      <w:bodyDiv w:val="1"/>
      <w:marLeft w:val="0"/>
      <w:marRight w:val="0"/>
      <w:marTop w:val="0"/>
      <w:marBottom w:val="0"/>
      <w:divBdr>
        <w:top w:val="none" w:sz="0" w:space="0" w:color="auto"/>
        <w:left w:val="none" w:sz="0" w:space="0" w:color="auto"/>
        <w:bottom w:val="none" w:sz="0" w:space="0" w:color="auto"/>
        <w:right w:val="none" w:sz="0" w:space="0" w:color="auto"/>
      </w:divBdr>
    </w:div>
    <w:div w:id="253898913">
      <w:bodyDiv w:val="1"/>
      <w:marLeft w:val="0"/>
      <w:marRight w:val="0"/>
      <w:marTop w:val="0"/>
      <w:marBottom w:val="0"/>
      <w:divBdr>
        <w:top w:val="none" w:sz="0" w:space="0" w:color="auto"/>
        <w:left w:val="none" w:sz="0" w:space="0" w:color="auto"/>
        <w:bottom w:val="none" w:sz="0" w:space="0" w:color="auto"/>
        <w:right w:val="none" w:sz="0" w:space="0" w:color="auto"/>
      </w:divBdr>
    </w:div>
    <w:div w:id="352850798">
      <w:bodyDiv w:val="1"/>
      <w:marLeft w:val="0"/>
      <w:marRight w:val="0"/>
      <w:marTop w:val="0"/>
      <w:marBottom w:val="0"/>
      <w:divBdr>
        <w:top w:val="none" w:sz="0" w:space="0" w:color="auto"/>
        <w:left w:val="none" w:sz="0" w:space="0" w:color="auto"/>
        <w:bottom w:val="none" w:sz="0" w:space="0" w:color="auto"/>
        <w:right w:val="none" w:sz="0" w:space="0" w:color="auto"/>
      </w:divBdr>
    </w:div>
    <w:div w:id="374238592">
      <w:bodyDiv w:val="1"/>
      <w:marLeft w:val="0"/>
      <w:marRight w:val="0"/>
      <w:marTop w:val="0"/>
      <w:marBottom w:val="0"/>
      <w:divBdr>
        <w:top w:val="none" w:sz="0" w:space="0" w:color="auto"/>
        <w:left w:val="none" w:sz="0" w:space="0" w:color="auto"/>
        <w:bottom w:val="none" w:sz="0" w:space="0" w:color="auto"/>
        <w:right w:val="none" w:sz="0" w:space="0" w:color="auto"/>
      </w:divBdr>
    </w:div>
    <w:div w:id="493758986">
      <w:bodyDiv w:val="1"/>
      <w:marLeft w:val="0"/>
      <w:marRight w:val="0"/>
      <w:marTop w:val="0"/>
      <w:marBottom w:val="0"/>
      <w:divBdr>
        <w:top w:val="none" w:sz="0" w:space="0" w:color="auto"/>
        <w:left w:val="none" w:sz="0" w:space="0" w:color="auto"/>
        <w:bottom w:val="none" w:sz="0" w:space="0" w:color="auto"/>
        <w:right w:val="none" w:sz="0" w:space="0" w:color="auto"/>
      </w:divBdr>
    </w:div>
    <w:div w:id="541871365">
      <w:bodyDiv w:val="1"/>
      <w:marLeft w:val="0"/>
      <w:marRight w:val="0"/>
      <w:marTop w:val="0"/>
      <w:marBottom w:val="0"/>
      <w:divBdr>
        <w:top w:val="none" w:sz="0" w:space="0" w:color="auto"/>
        <w:left w:val="none" w:sz="0" w:space="0" w:color="auto"/>
        <w:bottom w:val="none" w:sz="0" w:space="0" w:color="auto"/>
        <w:right w:val="none" w:sz="0" w:space="0" w:color="auto"/>
      </w:divBdr>
    </w:div>
    <w:div w:id="565457924">
      <w:bodyDiv w:val="1"/>
      <w:marLeft w:val="0"/>
      <w:marRight w:val="0"/>
      <w:marTop w:val="0"/>
      <w:marBottom w:val="0"/>
      <w:divBdr>
        <w:top w:val="none" w:sz="0" w:space="0" w:color="auto"/>
        <w:left w:val="none" w:sz="0" w:space="0" w:color="auto"/>
        <w:bottom w:val="none" w:sz="0" w:space="0" w:color="auto"/>
        <w:right w:val="none" w:sz="0" w:space="0" w:color="auto"/>
      </w:divBdr>
    </w:div>
    <w:div w:id="713120026">
      <w:bodyDiv w:val="1"/>
      <w:marLeft w:val="0"/>
      <w:marRight w:val="0"/>
      <w:marTop w:val="0"/>
      <w:marBottom w:val="0"/>
      <w:divBdr>
        <w:top w:val="none" w:sz="0" w:space="0" w:color="auto"/>
        <w:left w:val="none" w:sz="0" w:space="0" w:color="auto"/>
        <w:bottom w:val="none" w:sz="0" w:space="0" w:color="auto"/>
        <w:right w:val="none" w:sz="0" w:space="0" w:color="auto"/>
      </w:divBdr>
    </w:div>
    <w:div w:id="788167291">
      <w:bodyDiv w:val="1"/>
      <w:marLeft w:val="0"/>
      <w:marRight w:val="0"/>
      <w:marTop w:val="0"/>
      <w:marBottom w:val="0"/>
      <w:divBdr>
        <w:top w:val="none" w:sz="0" w:space="0" w:color="auto"/>
        <w:left w:val="none" w:sz="0" w:space="0" w:color="auto"/>
        <w:bottom w:val="none" w:sz="0" w:space="0" w:color="auto"/>
        <w:right w:val="none" w:sz="0" w:space="0" w:color="auto"/>
      </w:divBdr>
    </w:div>
    <w:div w:id="804394813">
      <w:bodyDiv w:val="1"/>
      <w:marLeft w:val="0"/>
      <w:marRight w:val="0"/>
      <w:marTop w:val="0"/>
      <w:marBottom w:val="0"/>
      <w:divBdr>
        <w:top w:val="none" w:sz="0" w:space="0" w:color="auto"/>
        <w:left w:val="none" w:sz="0" w:space="0" w:color="auto"/>
        <w:bottom w:val="none" w:sz="0" w:space="0" w:color="auto"/>
        <w:right w:val="none" w:sz="0" w:space="0" w:color="auto"/>
      </w:divBdr>
      <w:divsChild>
        <w:div w:id="1855875472">
          <w:marLeft w:val="0"/>
          <w:marRight w:val="0"/>
          <w:marTop w:val="0"/>
          <w:marBottom w:val="360"/>
          <w:divBdr>
            <w:top w:val="none" w:sz="0" w:space="0" w:color="auto"/>
            <w:left w:val="none" w:sz="0" w:space="0" w:color="auto"/>
            <w:bottom w:val="none" w:sz="0" w:space="0" w:color="auto"/>
            <w:right w:val="none" w:sz="0" w:space="0" w:color="auto"/>
          </w:divBdr>
        </w:div>
      </w:divsChild>
    </w:div>
    <w:div w:id="886799989">
      <w:bodyDiv w:val="1"/>
      <w:marLeft w:val="0"/>
      <w:marRight w:val="0"/>
      <w:marTop w:val="0"/>
      <w:marBottom w:val="0"/>
      <w:divBdr>
        <w:top w:val="none" w:sz="0" w:space="0" w:color="auto"/>
        <w:left w:val="none" w:sz="0" w:space="0" w:color="auto"/>
        <w:bottom w:val="none" w:sz="0" w:space="0" w:color="auto"/>
        <w:right w:val="none" w:sz="0" w:space="0" w:color="auto"/>
      </w:divBdr>
    </w:div>
    <w:div w:id="893277783">
      <w:bodyDiv w:val="1"/>
      <w:marLeft w:val="0"/>
      <w:marRight w:val="0"/>
      <w:marTop w:val="0"/>
      <w:marBottom w:val="0"/>
      <w:divBdr>
        <w:top w:val="none" w:sz="0" w:space="0" w:color="auto"/>
        <w:left w:val="none" w:sz="0" w:space="0" w:color="auto"/>
        <w:bottom w:val="none" w:sz="0" w:space="0" w:color="auto"/>
        <w:right w:val="none" w:sz="0" w:space="0" w:color="auto"/>
      </w:divBdr>
    </w:div>
    <w:div w:id="1006978791">
      <w:bodyDiv w:val="1"/>
      <w:marLeft w:val="0"/>
      <w:marRight w:val="0"/>
      <w:marTop w:val="0"/>
      <w:marBottom w:val="0"/>
      <w:divBdr>
        <w:top w:val="none" w:sz="0" w:space="0" w:color="auto"/>
        <w:left w:val="none" w:sz="0" w:space="0" w:color="auto"/>
        <w:bottom w:val="none" w:sz="0" w:space="0" w:color="auto"/>
        <w:right w:val="none" w:sz="0" w:space="0" w:color="auto"/>
      </w:divBdr>
    </w:div>
    <w:div w:id="1185553728">
      <w:bodyDiv w:val="1"/>
      <w:marLeft w:val="0"/>
      <w:marRight w:val="0"/>
      <w:marTop w:val="0"/>
      <w:marBottom w:val="0"/>
      <w:divBdr>
        <w:top w:val="none" w:sz="0" w:space="0" w:color="auto"/>
        <w:left w:val="none" w:sz="0" w:space="0" w:color="auto"/>
        <w:bottom w:val="none" w:sz="0" w:space="0" w:color="auto"/>
        <w:right w:val="none" w:sz="0" w:space="0" w:color="auto"/>
      </w:divBdr>
    </w:div>
    <w:div w:id="1226257561">
      <w:bodyDiv w:val="1"/>
      <w:marLeft w:val="0"/>
      <w:marRight w:val="0"/>
      <w:marTop w:val="0"/>
      <w:marBottom w:val="0"/>
      <w:divBdr>
        <w:top w:val="none" w:sz="0" w:space="0" w:color="auto"/>
        <w:left w:val="none" w:sz="0" w:space="0" w:color="auto"/>
        <w:bottom w:val="none" w:sz="0" w:space="0" w:color="auto"/>
        <w:right w:val="none" w:sz="0" w:space="0" w:color="auto"/>
      </w:divBdr>
    </w:div>
    <w:div w:id="1341733384">
      <w:bodyDiv w:val="1"/>
      <w:marLeft w:val="0"/>
      <w:marRight w:val="0"/>
      <w:marTop w:val="0"/>
      <w:marBottom w:val="0"/>
      <w:divBdr>
        <w:top w:val="none" w:sz="0" w:space="0" w:color="auto"/>
        <w:left w:val="none" w:sz="0" w:space="0" w:color="auto"/>
        <w:bottom w:val="none" w:sz="0" w:space="0" w:color="auto"/>
        <w:right w:val="none" w:sz="0" w:space="0" w:color="auto"/>
      </w:divBdr>
    </w:div>
    <w:div w:id="1466122973">
      <w:bodyDiv w:val="1"/>
      <w:marLeft w:val="0"/>
      <w:marRight w:val="0"/>
      <w:marTop w:val="0"/>
      <w:marBottom w:val="0"/>
      <w:divBdr>
        <w:top w:val="none" w:sz="0" w:space="0" w:color="auto"/>
        <w:left w:val="none" w:sz="0" w:space="0" w:color="auto"/>
        <w:bottom w:val="none" w:sz="0" w:space="0" w:color="auto"/>
        <w:right w:val="none" w:sz="0" w:space="0" w:color="auto"/>
      </w:divBdr>
    </w:div>
    <w:div w:id="1571384568">
      <w:bodyDiv w:val="1"/>
      <w:marLeft w:val="0"/>
      <w:marRight w:val="0"/>
      <w:marTop w:val="0"/>
      <w:marBottom w:val="0"/>
      <w:divBdr>
        <w:top w:val="none" w:sz="0" w:space="0" w:color="auto"/>
        <w:left w:val="none" w:sz="0" w:space="0" w:color="auto"/>
        <w:bottom w:val="none" w:sz="0" w:space="0" w:color="auto"/>
        <w:right w:val="none" w:sz="0" w:space="0" w:color="auto"/>
      </w:divBdr>
    </w:div>
    <w:div w:id="1633099313">
      <w:bodyDiv w:val="1"/>
      <w:marLeft w:val="0"/>
      <w:marRight w:val="0"/>
      <w:marTop w:val="0"/>
      <w:marBottom w:val="0"/>
      <w:divBdr>
        <w:top w:val="none" w:sz="0" w:space="0" w:color="auto"/>
        <w:left w:val="none" w:sz="0" w:space="0" w:color="auto"/>
        <w:bottom w:val="none" w:sz="0" w:space="0" w:color="auto"/>
        <w:right w:val="none" w:sz="0" w:space="0" w:color="auto"/>
      </w:divBdr>
    </w:div>
    <w:div w:id="1736466798">
      <w:bodyDiv w:val="1"/>
      <w:marLeft w:val="0"/>
      <w:marRight w:val="0"/>
      <w:marTop w:val="0"/>
      <w:marBottom w:val="0"/>
      <w:divBdr>
        <w:top w:val="none" w:sz="0" w:space="0" w:color="auto"/>
        <w:left w:val="none" w:sz="0" w:space="0" w:color="auto"/>
        <w:bottom w:val="none" w:sz="0" w:space="0" w:color="auto"/>
        <w:right w:val="none" w:sz="0" w:space="0" w:color="auto"/>
      </w:divBdr>
    </w:div>
    <w:div w:id="1888485908">
      <w:bodyDiv w:val="1"/>
      <w:marLeft w:val="0"/>
      <w:marRight w:val="0"/>
      <w:marTop w:val="0"/>
      <w:marBottom w:val="0"/>
      <w:divBdr>
        <w:top w:val="none" w:sz="0" w:space="0" w:color="auto"/>
        <w:left w:val="none" w:sz="0" w:space="0" w:color="auto"/>
        <w:bottom w:val="none" w:sz="0" w:space="0" w:color="auto"/>
        <w:right w:val="none" w:sz="0" w:space="0" w:color="auto"/>
      </w:divBdr>
    </w:div>
    <w:div w:id="1890990395">
      <w:bodyDiv w:val="1"/>
      <w:marLeft w:val="0"/>
      <w:marRight w:val="0"/>
      <w:marTop w:val="0"/>
      <w:marBottom w:val="0"/>
      <w:divBdr>
        <w:top w:val="none" w:sz="0" w:space="0" w:color="auto"/>
        <w:left w:val="none" w:sz="0" w:space="0" w:color="auto"/>
        <w:bottom w:val="none" w:sz="0" w:space="0" w:color="auto"/>
        <w:right w:val="none" w:sz="0" w:space="0" w:color="auto"/>
      </w:divBdr>
    </w:div>
    <w:div w:id="2099862308">
      <w:bodyDiv w:val="1"/>
      <w:marLeft w:val="0"/>
      <w:marRight w:val="0"/>
      <w:marTop w:val="0"/>
      <w:marBottom w:val="0"/>
      <w:divBdr>
        <w:top w:val="none" w:sz="0" w:space="0" w:color="auto"/>
        <w:left w:val="none" w:sz="0" w:space="0" w:color="auto"/>
        <w:bottom w:val="none" w:sz="0" w:space="0" w:color="auto"/>
        <w:right w:val="none" w:sz="0" w:space="0" w:color="auto"/>
      </w:divBdr>
    </w:div>
    <w:div w:id="212214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AE1475E1-0FC5-D248-A05A-E954D2E46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6161</Words>
  <Characters>38821</Characters>
  <Application>Microsoft Office Word</Application>
  <DocSecurity>0</DocSecurity>
  <Lines>323</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 OZENC</dc:creator>
  <cp:keywords/>
  <dc:description/>
  <cp:lastModifiedBy>Ece Göztepe Celebi</cp:lastModifiedBy>
  <cp:revision>2</cp:revision>
  <cp:lastPrinted>2021-10-19T13:20:00Z</cp:lastPrinted>
  <dcterms:created xsi:type="dcterms:W3CDTF">2021-10-19T16:08:00Z</dcterms:created>
  <dcterms:modified xsi:type="dcterms:W3CDTF">2021-10-19T16:08:00Z</dcterms:modified>
</cp:coreProperties>
</file>