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43FA" w14:textId="77777777" w:rsidR="001E7C09" w:rsidRDefault="001E7C09" w:rsidP="001E7C09">
      <w:pPr>
        <w:pStyle w:val="TOC1"/>
      </w:pPr>
      <w:bookmarkStart w:id="0" w:name="_GoBack"/>
      <w:bookmarkEnd w:id="0"/>
    </w:p>
    <w:p w14:paraId="7284C820" w14:textId="13C6BB46" w:rsidR="00AF4E09" w:rsidRDefault="00AF4E09" w:rsidP="00AF4E09">
      <w:pPr>
        <w:jc w:val="center"/>
        <w:rPr>
          <w:b/>
          <w:bCs/>
        </w:rPr>
      </w:pPr>
      <w:r w:rsidRPr="00AF4E09">
        <w:rPr>
          <w:b/>
          <w:bCs/>
        </w:rPr>
        <w:t>TÜRKİYE’DE ANAYASAL ÇÜRÜME VE YENİ DÖRDÜNCÜ ERK TEORİSİ</w:t>
      </w:r>
      <w:r>
        <w:rPr>
          <w:b/>
          <w:bCs/>
        </w:rPr>
        <w:t>:</w:t>
      </w:r>
    </w:p>
    <w:p w14:paraId="288EB08C" w14:textId="77777777" w:rsidR="00AF4E09" w:rsidRDefault="00AF4E09" w:rsidP="00AF4E09">
      <w:pPr>
        <w:jc w:val="center"/>
      </w:pPr>
      <w:r>
        <w:t>“</w:t>
      </w:r>
      <w:r w:rsidRPr="00AF4E09">
        <w:rPr>
          <w:b/>
          <w:bCs/>
        </w:rPr>
        <w:t>ÇÜRÜMÜŞ BİR ŞEY VAR DANİMARKA KRALLIĞINDA</w:t>
      </w:r>
      <w:r>
        <w:t>”</w:t>
      </w:r>
      <w:r w:rsidRPr="00AF4E09">
        <w:rPr>
          <w:rStyle w:val="FootnoteReference"/>
        </w:rPr>
        <w:t xml:space="preserve"> </w:t>
      </w:r>
      <w:r>
        <w:rPr>
          <w:rStyle w:val="FootnoteReference"/>
        </w:rPr>
        <w:footnoteReference w:id="1"/>
      </w:r>
    </w:p>
    <w:p w14:paraId="4A0B24C7" w14:textId="77777777" w:rsidR="00AF4E09" w:rsidRPr="00AF4E09" w:rsidRDefault="00AF4E09" w:rsidP="00AF4E09">
      <w:pPr>
        <w:jc w:val="center"/>
        <w:rPr>
          <w:b/>
          <w:bCs/>
        </w:rPr>
      </w:pPr>
    </w:p>
    <w:p w14:paraId="5693D9C3" w14:textId="1EC1183E" w:rsidR="00AF4E09" w:rsidRDefault="00653DD9">
      <w:pPr>
        <w:pStyle w:val="TOC1"/>
        <w:rPr>
          <w:rFonts w:asciiTheme="minorHAnsi" w:eastAsiaTheme="minorEastAsia" w:hAnsiTheme="minorHAnsi" w:cstheme="minorBidi"/>
          <w:b w:val="0"/>
          <w:bCs w:val="0"/>
          <w:lang w:eastAsia="tr-TR"/>
        </w:rPr>
      </w:pPr>
      <w:r w:rsidRPr="00D7113C">
        <w:rPr>
          <w:sz w:val="22"/>
          <w:szCs w:val="22"/>
        </w:rPr>
        <w:fldChar w:fldCharType="begin"/>
      </w:r>
      <w:r w:rsidRPr="00D7113C">
        <w:rPr>
          <w:sz w:val="22"/>
          <w:szCs w:val="22"/>
        </w:rPr>
        <w:instrText xml:space="preserve"> TOC \o "1-3" \h \z \u </w:instrText>
      </w:r>
      <w:r w:rsidRPr="00D7113C">
        <w:rPr>
          <w:sz w:val="22"/>
          <w:szCs w:val="22"/>
        </w:rPr>
        <w:fldChar w:fldCharType="separate"/>
      </w:r>
      <w:hyperlink w:anchor="_Toc82898680" w:history="1">
        <w:r w:rsidR="00AF4E09" w:rsidRPr="0046412B">
          <w:rPr>
            <w:rStyle w:val="Hyperlink"/>
          </w:rPr>
          <w:t>Giriş</w:t>
        </w:r>
        <w:r w:rsidR="00AF4E09">
          <w:rPr>
            <w:webHidden/>
          </w:rPr>
          <w:tab/>
        </w:r>
        <w:r w:rsidR="00AF4E09">
          <w:rPr>
            <w:webHidden/>
          </w:rPr>
          <w:fldChar w:fldCharType="begin"/>
        </w:r>
        <w:r w:rsidR="00AF4E09">
          <w:rPr>
            <w:webHidden/>
          </w:rPr>
          <w:instrText xml:space="preserve"> PAGEREF _Toc82898680 \h </w:instrText>
        </w:r>
        <w:r w:rsidR="00AF4E09">
          <w:rPr>
            <w:webHidden/>
          </w:rPr>
        </w:r>
        <w:r w:rsidR="00AF4E09">
          <w:rPr>
            <w:webHidden/>
          </w:rPr>
          <w:fldChar w:fldCharType="separate"/>
        </w:r>
        <w:r w:rsidR="00AF4E09">
          <w:rPr>
            <w:webHidden/>
          </w:rPr>
          <w:t>2</w:t>
        </w:r>
        <w:r w:rsidR="00AF4E09">
          <w:rPr>
            <w:webHidden/>
          </w:rPr>
          <w:fldChar w:fldCharType="end"/>
        </w:r>
      </w:hyperlink>
    </w:p>
    <w:p w14:paraId="0115F2C6" w14:textId="67A85B8A" w:rsidR="00AF4E09" w:rsidRDefault="00F379EF">
      <w:pPr>
        <w:pStyle w:val="TOC1"/>
        <w:rPr>
          <w:rFonts w:asciiTheme="minorHAnsi" w:eastAsiaTheme="minorEastAsia" w:hAnsiTheme="minorHAnsi" w:cstheme="minorBidi"/>
          <w:b w:val="0"/>
          <w:bCs w:val="0"/>
          <w:lang w:eastAsia="tr-TR"/>
        </w:rPr>
      </w:pPr>
      <w:hyperlink w:anchor="_Toc82898681" w:history="1">
        <w:r w:rsidR="00AF4E09" w:rsidRPr="0046412B">
          <w:rPr>
            <w:rStyle w:val="Hyperlink"/>
          </w:rPr>
          <w:t>I. Niteleme Arayışı: “İnce Şeyleri Anlamak”</w:t>
        </w:r>
        <w:r w:rsidR="00AF4E09">
          <w:rPr>
            <w:webHidden/>
          </w:rPr>
          <w:tab/>
        </w:r>
        <w:r w:rsidR="00AF4E09">
          <w:rPr>
            <w:webHidden/>
          </w:rPr>
          <w:fldChar w:fldCharType="begin"/>
        </w:r>
        <w:r w:rsidR="00AF4E09">
          <w:rPr>
            <w:webHidden/>
          </w:rPr>
          <w:instrText xml:space="preserve"> PAGEREF _Toc82898681 \h </w:instrText>
        </w:r>
        <w:r w:rsidR="00AF4E09">
          <w:rPr>
            <w:webHidden/>
          </w:rPr>
        </w:r>
        <w:r w:rsidR="00AF4E09">
          <w:rPr>
            <w:webHidden/>
          </w:rPr>
          <w:fldChar w:fldCharType="separate"/>
        </w:r>
        <w:r w:rsidR="00AF4E09">
          <w:rPr>
            <w:webHidden/>
          </w:rPr>
          <w:t>2</w:t>
        </w:r>
        <w:r w:rsidR="00AF4E09">
          <w:rPr>
            <w:webHidden/>
          </w:rPr>
          <w:fldChar w:fldCharType="end"/>
        </w:r>
      </w:hyperlink>
    </w:p>
    <w:p w14:paraId="420F3CBE" w14:textId="2322A062" w:rsidR="00AF4E09" w:rsidRDefault="00F379EF">
      <w:pPr>
        <w:pStyle w:val="TOC2"/>
        <w:tabs>
          <w:tab w:val="right" w:leader="dot" w:pos="9062"/>
        </w:tabs>
        <w:rPr>
          <w:rFonts w:asciiTheme="minorHAnsi" w:eastAsiaTheme="minorEastAsia" w:hAnsiTheme="minorHAnsi" w:cstheme="minorBidi"/>
          <w:noProof/>
          <w:lang w:eastAsia="tr-TR"/>
        </w:rPr>
      </w:pPr>
      <w:hyperlink w:anchor="_Toc82898682" w:history="1">
        <w:r w:rsidR="00AF4E09" w:rsidRPr="0046412B">
          <w:rPr>
            <w:rStyle w:val="Hyperlink"/>
            <w:noProof/>
          </w:rPr>
          <w:t>1. Anayasa Krizi</w:t>
        </w:r>
        <w:r w:rsidR="00AF4E09">
          <w:rPr>
            <w:noProof/>
            <w:webHidden/>
          </w:rPr>
          <w:tab/>
        </w:r>
        <w:r w:rsidR="00AF4E09">
          <w:rPr>
            <w:noProof/>
            <w:webHidden/>
          </w:rPr>
          <w:fldChar w:fldCharType="begin"/>
        </w:r>
        <w:r w:rsidR="00AF4E09">
          <w:rPr>
            <w:noProof/>
            <w:webHidden/>
          </w:rPr>
          <w:instrText xml:space="preserve"> PAGEREF _Toc82898682 \h </w:instrText>
        </w:r>
        <w:r w:rsidR="00AF4E09">
          <w:rPr>
            <w:noProof/>
            <w:webHidden/>
          </w:rPr>
        </w:r>
        <w:r w:rsidR="00AF4E09">
          <w:rPr>
            <w:noProof/>
            <w:webHidden/>
          </w:rPr>
          <w:fldChar w:fldCharType="separate"/>
        </w:r>
        <w:r w:rsidR="00AF4E09">
          <w:rPr>
            <w:noProof/>
            <w:webHidden/>
          </w:rPr>
          <w:t>2</w:t>
        </w:r>
        <w:r w:rsidR="00AF4E09">
          <w:rPr>
            <w:noProof/>
            <w:webHidden/>
          </w:rPr>
          <w:fldChar w:fldCharType="end"/>
        </w:r>
      </w:hyperlink>
    </w:p>
    <w:p w14:paraId="5D9A224F" w14:textId="29E94581" w:rsidR="00AF4E09" w:rsidRDefault="00F379EF">
      <w:pPr>
        <w:pStyle w:val="TOC2"/>
        <w:tabs>
          <w:tab w:val="right" w:leader="dot" w:pos="9062"/>
        </w:tabs>
        <w:rPr>
          <w:rFonts w:asciiTheme="minorHAnsi" w:eastAsiaTheme="minorEastAsia" w:hAnsiTheme="minorHAnsi" w:cstheme="minorBidi"/>
          <w:noProof/>
          <w:lang w:eastAsia="tr-TR"/>
        </w:rPr>
      </w:pPr>
      <w:hyperlink w:anchor="_Toc82898683" w:history="1">
        <w:r w:rsidR="00AF4E09" w:rsidRPr="0046412B">
          <w:rPr>
            <w:rStyle w:val="Hyperlink"/>
            <w:noProof/>
          </w:rPr>
          <w:t>2. “Anayasal Zorlama”, “Anayasal Yozlaşma”, “Anayasal Çürüme”</w:t>
        </w:r>
        <w:r w:rsidR="00AF4E09">
          <w:rPr>
            <w:noProof/>
            <w:webHidden/>
          </w:rPr>
          <w:tab/>
        </w:r>
        <w:r w:rsidR="00AF4E09">
          <w:rPr>
            <w:noProof/>
            <w:webHidden/>
          </w:rPr>
          <w:fldChar w:fldCharType="begin"/>
        </w:r>
        <w:r w:rsidR="00AF4E09">
          <w:rPr>
            <w:noProof/>
            <w:webHidden/>
          </w:rPr>
          <w:instrText xml:space="preserve"> PAGEREF _Toc82898683 \h </w:instrText>
        </w:r>
        <w:r w:rsidR="00AF4E09">
          <w:rPr>
            <w:noProof/>
            <w:webHidden/>
          </w:rPr>
        </w:r>
        <w:r w:rsidR="00AF4E09">
          <w:rPr>
            <w:noProof/>
            <w:webHidden/>
          </w:rPr>
          <w:fldChar w:fldCharType="separate"/>
        </w:r>
        <w:r w:rsidR="00AF4E09">
          <w:rPr>
            <w:noProof/>
            <w:webHidden/>
          </w:rPr>
          <w:t>3</w:t>
        </w:r>
        <w:r w:rsidR="00AF4E09">
          <w:rPr>
            <w:noProof/>
            <w:webHidden/>
          </w:rPr>
          <w:fldChar w:fldCharType="end"/>
        </w:r>
      </w:hyperlink>
    </w:p>
    <w:p w14:paraId="7D231B78" w14:textId="2478D509" w:rsidR="00AF4E09" w:rsidRDefault="00F379EF">
      <w:pPr>
        <w:pStyle w:val="TOC2"/>
        <w:tabs>
          <w:tab w:val="right" w:leader="dot" w:pos="9062"/>
        </w:tabs>
        <w:rPr>
          <w:rFonts w:asciiTheme="minorHAnsi" w:eastAsiaTheme="minorEastAsia" w:hAnsiTheme="minorHAnsi" w:cstheme="minorBidi"/>
          <w:noProof/>
          <w:lang w:eastAsia="tr-TR"/>
        </w:rPr>
      </w:pPr>
      <w:hyperlink w:anchor="_Toc82898684" w:history="1">
        <w:r w:rsidR="00AF4E09" w:rsidRPr="0046412B">
          <w:rPr>
            <w:rStyle w:val="Hyperlink"/>
            <w:noProof/>
          </w:rPr>
          <w:t>3. Hukuksuzluk Devleti</w:t>
        </w:r>
        <w:r w:rsidR="00AF4E09">
          <w:rPr>
            <w:noProof/>
            <w:webHidden/>
          </w:rPr>
          <w:tab/>
        </w:r>
        <w:r w:rsidR="00AF4E09">
          <w:rPr>
            <w:noProof/>
            <w:webHidden/>
          </w:rPr>
          <w:fldChar w:fldCharType="begin"/>
        </w:r>
        <w:r w:rsidR="00AF4E09">
          <w:rPr>
            <w:noProof/>
            <w:webHidden/>
          </w:rPr>
          <w:instrText xml:space="preserve"> PAGEREF _Toc82898684 \h </w:instrText>
        </w:r>
        <w:r w:rsidR="00AF4E09">
          <w:rPr>
            <w:noProof/>
            <w:webHidden/>
          </w:rPr>
        </w:r>
        <w:r w:rsidR="00AF4E09">
          <w:rPr>
            <w:noProof/>
            <w:webHidden/>
          </w:rPr>
          <w:fldChar w:fldCharType="separate"/>
        </w:r>
        <w:r w:rsidR="00AF4E09">
          <w:rPr>
            <w:noProof/>
            <w:webHidden/>
          </w:rPr>
          <w:t>5</w:t>
        </w:r>
        <w:r w:rsidR="00AF4E09">
          <w:rPr>
            <w:noProof/>
            <w:webHidden/>
          </w:rPr>
          <w:fldChar w:fldCharType="end"/>
        </w:r>
      </w:hyperlink>
    </w:p>
    <w:p w14:paraId="46E1C494" w14:textId="7A28437C" w:rsidR="00AF4E09" w:rsidRDefault="00F379EF">
      <w:pPr>
        <w:pStyle w:val="TOC2"/>
        <w:tabs>
          <w:tab w:val="right" w:leader="dot" w:pos="9062"/>
        </w:tabs>
        <w:rPr>
          <w:rFonts w:asciiTheme="minorHAnsi" w:eastAsiaTheme="minorEastAsia" w:hAnsiTheme="minorHAnsi" w:cstheme="minorBidi"/>
          <w:noProof/>
          <w:lang w:eastAsia="tr-TR"/>
        </w:rPr>
      </w:pPr>
      <w:hyperlink w:anchor="_Toc82898685" w:history="1">
        <w:r w:rsidR="00AF4E09" w:rsidRPr="0046412B">
          <w:rPr>
            <w:rStyle w:val="Hyperlink"/>
            <w:noProof/>
          </w:rPr>
          <w:t>4. Ara Değerlendirme</w:t>
        </w:r>
        <w:r w:rsidR="00AF4E09">
          <w:rPr>
            <w:noProof/>
            <w:webHidden/>
          </w:rPr>
          <w:tab/>
        </w:r>
        <w:r w:rsidR="00AF4E09">
          <w:rPr>
            <w:noProof/>
            <w:webHidden/>
          </w:rPr>
          <w:fldChar w:fldCharType="begin"/>
        </w:r>
        <w:r w:rsidR="00AF4E09">
          <w:rPr>
            <w:noProof/>
            <w:webHidden/>
          </w:rPr>
          <w:instrText xml:space="preserve"> PAGEREF _Toc82898685 \h </w:instrText>
        </w:r>
        <w:r w:rsidR="00AF4E09">
          <w:rPr>
            <w:noProof/>
            <w:webHidden/>
          </w:rPr>
        </w:r>
        <w:r w:rsidR="00AF4E09">
          <w:rPr>
            <w:noProof/>
            <w:webHidden/>
          </w:rPr>
          <w:fldChar w:fldCharType="separate"/>
        </w:r>
        <w:r w:rsidR="00AF4E09">
          <w:rPr>
            <w:noProof/>
            <w:webHidden/>
          </w:rPr>
          <w:t>6</w:t>
        </w:r>
        <w:r w:rsidR="00AF4E09">
          <w:rPr>
            <w:noProof/>
            <w:webHidden/>
          </w:rPr>
          <w:fldChar w:fldCharType="end"/>
        </w:r>
      </w:hyperlink>
    </w:p>
    <w:p w14:paraId="5E3F3084" w14:textId="7D7B9557" w:rsidR="00AF4E09" w:rsidRDefault="00F379EF">
      <w:pPr>
        <w:pStyle w:val="TOC1"/>
        <w:rPr>
          <w:rFonts w:asciiTheme="minorHAnsi" w:eastAsiaTheme="minorEastAsia" w:hAnsiTheme="minorHAnsi" w:cstheme="minorBidi"/>
          <w:b w:val="0"/>
          <w:bCs w:val="0"/>
          <w:lang w:eastAsia="tr-TR"/>
        </w:rPr>
      </w:pPr>
      <w:hyperlink w:anchor="_Toc82898686" w:history="1">
        <w:r w:rsidR="00AF4E09" w:rsidRPr="0046412B">
          <w:rPr>
            <w:rStyle w:val="Hyperlink"/>
          </w:rPr>
          <w:t>II. Çözüm Arayışı: “Dördüncü Erkler Teorisi”</w:t>
        </w:r>
        <w:r w:rsidR="00AF4E09">
          <w:rPr>
            <w:webHidden/>
          </w:rPr>
          <w:tab/>
        </w:r>
        <w:r w:rsidR="00AF4E09">
          <w:rPr>
            <w:webHidden/>
          </w:rPr>
          <w:fldChar w:fldCharType="begin"/>
        </w:r>
        <w:r w:rsidR="00AF4E09">
          <w:rPr>
            <w:webHidden/>
          </w:rPr>
          <w:instrText xml:space="preserve"> PAGEREF _Toc82898686 \h </w:instrText>
        </w:r>
        <w:r w:rsidR="00AF4E09">
          <w:rPr>
            <w:webHidden/>
          </w:rPr>
        </w:r>
        <w:r w:rsidR="00AF4E09">
          <w:rPr>
            <w:webHidden/>
          </w:rPr>
          <w:fldChar w:fldCharType="separate"/>
        </w:r>
        <w:r w:rsidR="00AF4E09">
          <w:rPr>
            <w:webHidden/>
          </w:rPr>
          <w:t>10</w:t>
        </w:r>
        <w:r w:rsidR="00AF4E09">
          <w:rPr>
            <w:webHidden/>
          </w:rPr>
          <w:fldChar w:fldCharType="end"/>
        </w:r>
      </w:hyperlink>
    </w:p>
    <w:p w14:paraId="39350E1F" w14:textId="6CB2162A" w:rsidR="00AF4E09" w:rsidRDefault="00F379EF">
      <w:pPr>
        <w:pStyle w:val="TOC2"/>
        <w:tabs>
          <w:tab w:val="right" w:leader="dot" w:pos="9062"/>
        </w:tabs>
        <w:rPr>
          <w:rFonts w:asciiTheme="minorHAnsi" w:eastAsiaTheme="minorEastAsia" w:hAnsiTheme="minorHAnsi" w:cstheme="minorBidi"/>
          <w:noProof/>
          <w:lang w:eastAsia="tr-TR"/>
        </w:rPr>
      </w:pPr>
      <w:hyperlink w:anchor="_Toc82898687" w:history="1">
        <w:r w:rsidR="00AF4E09" w:rsidRPr="0046412B">
          <w:rPr>
            <w:rStyle w:val="Hyperlink"/>
            <w:noProof/>
          </w:rPr>
          <w:t>1. Literatürde</w:t>
        </w:r>
        <w:r w:rsidR="00AF4E09">
          <w:rPr>
            <w:noProof/>
            <w:webHidden/>
          </w:rPr>
          <w:tab/>
        </w:r>
        <w:r w:rsidR="00AF4E09">
          <w:rPr>
            <w:noProof/>
            <w:webHidden/>
          </w:rPr>
          <w:fldChar w:fldCharType="begin"/>
        </w:r>
        <w:r w:rsidR="00AF4E09">
          <w:rPr>
            <w:noProof/>
            <w:webHidden/>
          </w:rPr>
          <w:instrText xml:space="preserve"> PAGEREF _Toc82898687 \h </w:instrText>
        </w:r>
        <w:r w:rsidR="00AF4E09">
          <w:rPr>
            <w:noProof/>
            <w:webHidden/>
          </w:rPr>
        </w:r>
        <w:r w:rsidR="00AF4E09">
          <w:rPr>
            <w:noProof/>
            <w:webHidden/>
          </w:rPr>
          <w:fldChar w:fldCharType="separate"/>
        </w:r>
        <w:r w:rsidR="00AF4E09">
          <w:rPr>
            <w:noProof/>
            <w:webHidden/>
          </w:rPr>
          <w:t>12</w:t>
        </w:r>
        <w:r w:rsidR="00AF4E09">
          <w:rPr>
            <w:noProof/>
            <w:webHidden/>
          </w:rPr>
          <w:fldChar w:fldCharType="end"/>
        </w:r>
      </w:hyperlink>
    </w:p>
    <w:p w14:paraId="436B90C1" w14:textId="3225D8E9" w:rsidR="00AF4E09" w:rsidRDefault="00F379EF">
      <w:pPr>
        <w:pStyle w:val="TOC2"/>
        <w:tabs>
          <w:tab w:val="right" w:leader="dot" w:pos="9062"/>
        </w:tabs>
        <w:rPr>
          <w:rFonts w:asciiTheme="minorHAnsi" w:eastAsiaTheme="minorEastAsia" w:hAnsiTheme="minorHAnsi" w:cstheme="minorBidi"/>
          <w:noProof/>
          <w:lang w:eastAsia="tr-TR"/>
        </w:rPr>
      </w:pPr>
      <w:hyperlink w:anchor="_Toc82898688" w:history="1">
        <w:r w:rsidR="00AF4E09" w:rsidRPr="0046412B">
          <w:rPr>
            <w:rStyle w:val="Hyperlink"/>
            <w:noProof/>
          </w:rPr>
          <w:t>2. Anayasalarda</w:t>
        </w:r>
        <w:r w:rsidR="00AF4E09">
          <w:rPr>
            <w:noProof/>
            <w:webHidden/>
          </w:rPr>
          <w:tab/>
        </w:r>
        <w:r w:rsidR="00AF4E09">
          <w:rPr>
            <w:noProof/>
            <w:webHidden/>
          </w:rPr>
          <w:fldChar w:fldCharType="begin"/>
        </w:r>
        <w:r w:rsidR="00AF4E09">
          <w:rPr>
            <w:noProof/>
            <w:webHidden/>
          </w:rPr>
          <w:instrText xml:space="preserve"> PAGEREF _Toc82898688 \h </w:instrText>
        </w:r>
        <w:r w:rsidR="00AF4E09">
          <w:rPr>
            <w:noProof/>
            <w:webHidden/>
          </w:rPr>
        </w:r>
        <w:r w:rsidR="00AF4E09">
          <w:rPr>
            <w:noProof/>
            <w:webHidden/>
          </w:rPr>
          <w:fldChar w:fldCharType="separate"/>
        </w:r>
        <w:r w:rsidR="00AF4E09">
          <w:rPr>
            <w:noProof/>
            <w:webHidden/>
          </w:rPr>
          <w:t>13</w:t>
        </w:r>
        <w:r w:rsidR="00AF4E09">
          <w:rPr>
            <w:noProof/>
            <w:webHidden/>
          </w:rPr>
          <w:fldChar w:fldCharType="end"/>
        </w:r>
      </w:hyperlink>
    </w:p>
    <w:p w14:paraId="109D1F9F" w14:textId="6C9787A0" w:rsidR="00AF4E09" w:rsidRDefault="00F379EF">
      <w:pPr>
        <w:pStyle w:val="TOC2"/>
        <w:tabs>
          <w:tab w:val="right" w:leader="dot" w:pos="9062"/>
        </w:tabs>
        <w:rPr>
          <w:rFonts w:asciiTheme="minorHAnsi" w:eastAsiaTheme="minorEastAsia" w:hAnsiTheme="minorHAnsi" w:cstheme="minorBidi"/>
          <w:noProof/>
          <w:lang w:eastAsia="tr-TR"/>
        </w:rPr>
      </w:pPr>
      <w:hyperlink w:anchor="_Toc82898689" w:history="1">
        <w:r w:rsidR="00AF4E09" w:rsidRPr="0046412B">
          <w:rPr>
            <w:rStyle w:val="Hyperlink"/>
            <w:noProof/>
          </w:rPr>
          <w:t>3. Uygulamada</w:t>
        </w:r>
        <w:r w:rsidR="00AF4E09">
          <w:rPr>
            <w:noProof/>
            <w:webHidden/>
          </w:rPr>
          <w:tab/>
        </w:r>
        <w:r w:rsidR="00AF4E09">
          <w:rPr>
            <w:noProof/>
            <w:webHidden/>
          </w:rPr>
          <w:fldChar w:fldCharType="begin"/>
        </w:r>
        <w:r w:rsidR="00AF4E09">
          <w:rPr>
            <w:noProof/>
            <w:webHidden/>
          </w:rPr>
          <w:instrText xml:space="preserve"> PAGEREF _Toc82898689 \h </w:instrText>
        </w:r>
        <w:r w:rsidR="00AF4E09">
          <w:rPr>
            <w:noProof/>
            <w:webHidden/>
          </w:rPr>
        </w:r>
        <w:r w:rsidR="00AF4E09">
          <w:rPr>
            <w:noProof/>
            <w:webHidden/>
          </w:rPr>
          <w:fldChar w:fldCharType="separate"/>
        </w:r>
        <w:r w:rsidR="00AF4E09">
          <w:rPr>
            <w:noProof/>
            <w:webHidden/>
          </w:rPr>
          <w:t>15</w:t>
        </w:r>
        <w:r w:rsidR="00AF4E09">
          <w:rPr>
            <w:noProof/>
            <w:webHidden/>
          </w:rPr>
          <w:fldChar w:fldCharType="end"/>
        </w:r>
      </w:hyperlink>
    </w:p>
    <w:p w14:paraId="76D2D2A0" w14:textId="449A6EE2" w:rsidR="00AF4E09" w:rsidRDefault="00F379EF">
      <w:pPr>
        <w:pStyle w:val="TOC1"/>
        <w:rPr>
          <w:rFonts w:asciiTheme="minorHAnsi" w:eastAsiaTheme="minorEastAsia" w:hAnsiTheme="minorHAnsi" w:cstheme="minorBidi"/>
          <w:b w:val="0"/>
          <w:bCs w:val="0"/>
          <w:lang w:eastAsia="tr-TR"/>
        </w:rPr>
      </w:pPr>
      <w:hyperlink w:anchor="_Toc82898690" w:history="1">
        <w:r w:rsidR="00AF4E09" w:rsidRPr="0046412B">
          <w:rPr>
            <w:rStyle w:val="Hyperlink"/>
          </w:rPr>
          <w:t>Sonuç</w:t>
        </w:r>
        <w:r w:rsidR="00AF4E09">
          <w:rPr>
            <w:webHidden/>
          </w:rPr>
          <w:tab/>
        </w:r>
        <w:r w:rsidR="00AF4E09">
          <w:rPr>
            <w:webHidden/>
          </w:rPr>
          <w:fldChar w:fldCharType="begin"/>
        </w:r>
        <w:r w:rsidR="00AF4E09">
          <w:rPr>
            <w:webHidden/>
          </w:rPr>
          <w:instrText xml:space="preserve"> PAGEREF _Toc82898690 \h </w:instrText>
        </w:r>
        <w:r w:rsidR="00AF4E09">
          <w:rPr>
            <w:webHidden/>
          </w:rPr>
        </w:r>
        <w:r w:rsidR="00AF4E09">
          <w:rPr>
            <w:webHidden/>
          </w:rPr>
          <w:fldChar w:fldCharType="separate"/>
        </w:r>
        <w:r w:rsidR="00AF4E09">
          <w:rPr>
            <w:webHidden/>
          </w:rPr>
          <w:t>17</w:t>
        </w:r>
        <w:r w:rsidR="00AF4E09">
          <w:rPr>
            <w:webHidden/>
          </w:rPr>
          <w:fldChar w:fldCharType="end"/>
        </w:r>
      </w:hyperlink>
    </w:p>
    <w:p w14:paraId="6F6CF82C" w14:textId="10E7495A" w:rsidR="00653DD9" w:rsidRDefault="00653DD9" w:rsidP="00653DD9">
      <w:pPr>
        <w:pStyle w:val="Heading1"/>
      </w:pPr>
      <w:r w:rsidRPr="00D7113C">
        <w:rPr>
          <w:sz w:val="22"/>
          <w:szCs w:val="22"/>
        </w:rPr>
        <w:fldChar w:fldCharType="end"/>
      </w:r>
    </w:p>
    <w:p w14:paraId="0521B2D9" w14:textId="77777777" w:rsidR="001E7C09" w:rsidRDefault="001E7C09" w:rsidP="00653DD9">
      <w:pPr>
        <w:pStyle w:val="Heading1"/>
        <w:sectPr w:rsidR="001E7C09">
          <w:footerReference w:type="even" r:id="rId7"/>
          <w:footerReference w:type="default" r:id="rId8"/>
          <w:pgSz w:w="11906" w:h="16838"/>
          <w:pgMar w:top="1417" w:right="1417" w:bottom="1417" w:left="1417" w:header="708" w:footer="708" w:gutter="0"/>
          <w:cols w:space="708"/>
          <w:docGrid w:linePitch="360"/>
        </w:sectPr>
      </w:pPr>
    </w:p>
    <w:p w14:paraId="44153270" w14:textId="77777777" w:rsidR="00AC3FAE" w:rsidRDefault="00AC3FAE" w:rsidP="00AC3FAE">
      <w:pPr>
        <w:jc w:val="center"/>
        <w:rPr>
          <w:b/>
          <w:bCs/>
        </w:rPr>
      </w:pPr>
      <w:bookmarkStart w:id="1" w:name="_Toc82898680"/>
      <w:r w:rsidRPr="00AF4E09">
        <w:rPr>
          <w:b/>
          <w:bCs/>
        </w:rPr>
        <w:lastRenderedPageBreak/>
        <w:t>TÜRKİYE’DE ANAYASAL ÇÜRÜME VE YENİ DÖRDÜNCÜ ERK TEORİSİ</w:t>
      </w:r>
      <w:r>
        <w:rPr>
          <w:b/>
          <w:bCs/>
        </w:rPr>
        <w:t>:</w:t>
      </w:r>
    </w:p>
    <w:p w14:paraId="7C3CD37E" w14:textId="77777777" w:rsidR="00AC3FAE" w:rsidRDefault="00AC3FAE" w:rsidP="00AC3FAE">
      <w:pPr>
        <w:jc w:val="center"/>
      </w:pPr>
      <w:r>
        <w:t>“</w:t>
      </w:r>
      <w:r w:rsidRPr="00AF4E09">
        <w:rPr>
          <w:b/>
          <w:bCs/>
        </w:rPr>
        <w:t>ÇÜRÜMÜŞ BİR ŞEY VAR DANİMARKA KRALLIĞINDA</w:t>
      </w:r>
      <w:r>
        <w:t>”</w:t>
      </w:r>
      <w:r w:rsidRPr="00AF4E09">
        <w:rPr>
          <w:rStyle w:val="FootnoteReference"/>
        </w:rPr>
        <w:t xml:space="preserve"> </w:t>
      </w:r>
      <w:r>
        <w:rPr>
          <w:rStyle w:val="FootnoteReference"/>
        </w:rPr>
        <w:footnoteReference w:id="2"/>
      </w:r>
    </w:p>
    <w:p w14:paraId="7461AACE" w14:textId="1F709BE9" w:rsidR="00B01099" w:rsidRDefault="00B01099" w:rsidP="00653DD9">
      <w:pPr>
        <w:pStyle w:val="Heading1"/>
      </w:pPr>
      <w:r>
        <w:t>Giriş</w:t>
      </w:r>
      <w:bookmarkEnd w:id="1"/>
    </w:p>
    <w:p w14:paraId="6C85C5A3" w14:textId="77777777" w:rsidR="001D3DF9" w:rsidRDefault="00B01099" w:rsidP="001D3DF9">
      <w:pPr>
        <w:jc w:val="both"/>
      </w:pPr>
      <w:r w:rsidRPr="00363687">
        <w:t xml:space="preserve">Bildirimin </w:t>
      </w:r>
      <w:r>
        <w:t xml:space="preserve">konusu ve planı çok karmaşık sayılmaz. Temel sorum şu: </w:t>
      </w:r>
    </w:p>
    <w:p w14:paraId="4C9C81B9" w14:textId="65A0FFE4" w:rsidR="00B01099" w:rsidRDefault="00B01099" w:rsidP="001D3DF9">
      <w:pPr>
        <w:ind w:left="708"/>
        <w:jc w:val="both"/>
      </w:pPr>
      <w:r>
        <w:t xml:space="preserve">Türkiye’nin içinde bulunduğu durumu kamu hukuku perspektifiyle nasıl adlandırabiliriz ve buna dönük kurumsal çözümlerimiz neler olabilir? </w:t>
      </w:r>
    </w:p>
    <w:p w14:paraId="2B297DC2" w14:textId="77777777" w:rsidR="00B01099" w:rsidRDefault="00B01099" w:rsidP="00B01099">
      <w:pPr>
        <w:jc w:val="both"/>
      </w:pPr>
      <w:r>
        <w:t xml:space="preserve">Bu soruları tüketici biçimde yanıtlamayı değil ama olası yanıtlardan bir veya birkaçını ortaya koymayı, bunu da ilgili literatürü tanıtarak ve alt sorular sorarak ele almayı planlıyorum. </w:t>
      </w:r>
    </w:p>
    <w:p w14:paraId="71CA565D" w14:textId="2F9DB0AB" w:rsidR="00B01099" w:rsidRPr="00363687" w:rsidRDefault="00B01099" w:rsidP="00B01099">
      <w:pPr>
        <w:jc w:val="both"/>
      </w:pPr>
      <w:r>
        <w:t xml:space="preserve">Bu bakımdan ilk bölüm </w:t>
      </w:r>
      <w:r w:rsidR="000A4362">
        <w:t xml:space="preserve">bilimsel </w:t>
      </w:r>
      <w:r>
        <w:t xml:space="preserve">“niteleme arayışı”, ikinci bölümü de </w:t>
      </w:r>
      <w:r w:rsidR="000A4362">
        <w:t xml:space="preserve">kurumsal </w:t>
      </w:r>
      <w:r>
        <w:t xml:space="preserve">“çözüm arayışı” olarak </w:t>
      </w:r>
      <w:proofErr w:type="spellStart"/>
      <w:r>
        <w:t>başlıklandıracağım</w:t>
      </w:r>
      <w:proofErr w:type="spellEnd"/>
      <w:r>
        <w:t>.</w:t>
      </w:r>
    </w:p>
    <w:p w14:paraId="7A601449" w14:textId="34AB7E9C" w:rsidR="00B01099" w:rsidRPr="00653DD9" w:rsidRDefault="00B01099" w:rsidP="00653DD9">
      <w:pPr>
        <w:pStyle w:val="Heading1"/>
      </w:pPr>
      <w:bookmarkStart w:id="2" w:name="_Toc82898681"/>
      <w:r w:rsidRPr="00653DD9">
        <w:t>I. Niteleme Arayışı</w:t>
      </w:r>
      <w:r w:rsidR="001E7C09">
        <w:t>: “İnce Şeyleri Anlamak”</w:t>
      </w:r>
      <w:bookmarkEnd w:id="2"/>
    </w:p>
    <w:p w14:paraId="52F720F1" w14:textId="5387608F" w:rsidR="00B01099" w:rsidRDefault="00B01099" w:rsidP="00B01099">
      <w:pPr>
        <w:jc w:val="both"/>
      </w:pPr>
      <w:r>
        <w:t xml:space="preserve">Türkiye, karanlık bir dönemden geçiyor. Bu, farklı gerekçelerle de olsa makul çoğunluğun malumu. Kuşkusuz, bu karanlık dönemin kamu hukukçularına da bakan bir yüzü var. Acaba bu yüzü nasıl adlandırabiliriz? Sorunun ucu açık. Çünkü içinde bulunduğumuz süreci anayasal bir bağlamda tanımlamak için, herhangi bir sorun bulup başına “anayasal” </w:t>
      </w:r>
      <w:proofErr w:type="gramStart"/>
      <w:r w:rsidR="003773BB">
        <w:t xml:space="preserve">sıfatı </w:t>
      </w:r>
      <w:r>
        <w:t xml:space="preserve"> koyarak</w:t>
      </w:r>
      <w:proofErr w:type="gramEnd"/>
      <w:r>
        <w:t xml:space="preserve"> sayısız kavram türetmemiz mümkün.</w:t>
      </w:r>
      <w:r>
        <w:rPr>
          <w:rStyle w:val="FootnoteReference"/>
        </w:rPr>
        <w:footnoteReference w:id="3"/>
      </w:r>
      <w:r>
        <w:t xml:space="preserve"> Hele ki son yıllarda “anayasal x” kabilinden nitelemelerin “anayasal </w:t>
      </w:r>
      <w:proofErr w:type="spellStart"/>
      <w:r>
        <w:t>enflasyon”unu</w:t>
      </w:r>
      <w:proofErr w:type="spellEnd"/>
      <w:r>
        <w:t xml:space="preserve"> dikkate aldığımızda ve bunun kanıksandığını düşündüğümüzde bu çok daha mümkün. </w:t>
      </w:r>
    </w:p>
    <w:p w14:paraId="6DB79118" w14:textId="4580CFDA" w:rsidR="00B01099" w:rsidRDefault="00B01099" w:rsidP="00B01099">
      <w:pPr>
        <w:jc w:val="both"/>
      </w:pPr>
      <w:r>
        <w:t xml:space="preserve">Bu </w:t>
      </w:r>
      <w:proofErr w:type="spellStart"/>
      <w:r>
        <w:t>mümkünlükten</w:t>
      </w:r>
      <w:proofErr w:type="spellEnd"/>
      <w:r>
        <w:t xml:space="preserve">, -dikkatli bir tutum ve tutarlı bir arka plan varsa- rahatsız olmayı gerektirecek bir neden yok.  Çünkü Gülten Akın’ın </w:t>
      </w:r>
      <w:r w:rsidRPr="000833C1">
        <w:rPr>
          <w:i/>
          <w:iCs/>
        </w:rPr>
        <w:t>“</w:t>
      </w:r>
      <w:r w:rsidR="00B42974" w:rsidRPr="000833C1">
        <w:rPr>
          <w:i/>
          <w:iCs/>
        </w:rPr>
        <w:t xml:space="preserve">Ah, </w:t>
      </w:r>
      <w:r w:rsidRPr="000833C1">
        <w:rPr>
          <w:i/>
          <w:iCs/>
        </w:rPr>
        <w:t>kimse</w:t>
      </w:r>
      <w:r w:rsidR="00B42974" w:rsidRPr="000833C1">
        <w:rPr>
          <w:i/>
          <w:iCs/>
        </w:rPr>
        <w:t>ler</w:t>
      </w:r>
      <w:r w:rsidRPr="000833C1">
        <w:rPr>
          <w:i/>
          <w:iCs/>
        </w:rPr>
        <w:t xml:space="preserve">in vakti yok </w:t>
      </w:r>
      <w:r w:rsidR="00B42974" w:rsidRPr="000833C1">
        <w:rPr>
          <w:i/>
          <w:iCs/>
        </w:rPr>
        <w:t>/ D</w:t>
      </w:r>
      <w:r w:rsidRPr="000833C1">
        <w:rPr>
          <w:i/>
          <w:iCs/>
        </w:rPr>
        <w:t>urup ince şeyleri anlamaya”</w:t>
      </w:r>
      <w:r>
        <w:t xml:space="preserve"> dediği bir çağda sosyal bilimlerin, toplumun önüne ham ve kaba hâliyle duran bir şeyi incelikli dilimlere ayırıp kavrayışı genişletme gayreti oldukça değerli ve işlevseldir.</w:t>
      </w:r>
    </w:p>
    <w:p w14:paraId="66AFA1BF" w14:textId="10794186" w:rsidR="001E7C09" w:rsidRDefault="001E7C09" w:rsidP="001E7C09">
      <w:pPr>
        <w:jc w:val="center"/>
      </w:pPr>
      <w:r>
        <w:t>***</w:t>
      </w:r>
    </w:p>
    <w:p w14:paraId="3E407FB9" w14:textId="79B2A67F" w:rsidR="00B01099" w:rsidRDefault="00B01099" w:rsidP="00B01099">
      <w:pPr>
        <w:jc w:val="both"/>
      </w:pPr>
      <w:r>
        <w:t xml:space="preserve">Türkiye’nin bir “anayasa krizi” içinde olduğu söyleniyor. Buna peşinen doğru veya yanlış demek kolay değil ama açık olan şu ki bu söylem, Türkiye’ye özgü değil. Dünyanın farklı yerlerinde farklı </w:t>
      </w:r>
      <w:proofErr w:type="spellStart"/>
      <w:r>
        <w:t>otoriterleşme</w:t>
      </w:r>
      <w:proofErr w:type="spellEnd"/>
      <w:r>
        <w:t xml:space="preserve"> pratikleri yaşanıyor ve bunların hemen hepsi için bir “anayasa krizi” belirlemesi yapılıyor. Konuya buradan baktığımızda acaba deneyimlediğimiz şey küresel bir “anayasa </w:t>
      </w:r>
      <w:proofErr w:type="spellStart"/>
      <w:r>
        <w:t>krizi”nin</w:t>
      </w:r>
      <w:proofErr w:type="spellEnd"/>
      <w:r>
        <w:t xml:space="preserve"> Türkiye’nin payına düşen kısmı mı, yoksa burada gündelik siyasetin incelikli olmayan bir abartısıyla mı karşı karşıyayız?</w:t>
      </w:r>
    </w:p>
    <w:p w14:paraId="4B70BF43" w14:textId="4C783E5A" w:rsidR="00B01099" w:rsidRDefault="00B01099" w:rsidP="00B01099">
      <w:pPr>
        <w:jc w:val="both"/>
      </w:pPr>
      <w:r>
        <w:t>Bu soruya yanıt vermek, “anayasa krizi” ifadesinden ne anladığımıza bağlı. Türkçe literatürde Ergun Özbudun’un “Türkiye’nin Anayasa Krizi”</w:t>
      </w:r>
      <w:r>
        <w:rPr>
          <w:rStyle w:val="FootnoteReference"/>
        </w:rPr>
        <w:footnoteReference w:id="4"/>
      </w:r>
      <w:r>
        <w:t xml:space="preserve"> eserindeki zımni kabulden ve bu kabulü sürdüren çevrelerin üretimlerinden</w:t>
      </w:r>
      <w:r>
        <w:rPr>
          <w:rStyle w:val="FootnoteReference"/>
        </w:rPr>
        <w:footnoteReference w:id="5"/>
      </w:r>
      <w:r>
        <w:t xml:space="preserve"> hareket edecek olursak, pekâlâ yeni anayasa arayışlarının çıkmaza girmesi dahi bir “anayasa krizi” olarak tanımlanabilir.  Bu, daha 2000’li yılların başından veya daha önceki zamanlardan itibaren bir “anayasa krizi” ile karşı karşıyayız demek oluyor. Terminolojide böylesi geniş bir mercek kullanmaya hem kavramın derinliğini hem de gücünü zayıflattığı için mesafeli durmakta yarar var. Zaten bu konudaki literatüre baktığımızda </w:t>
      </w:r>
      <w:r>
        <w:lastRenderedPageBreak/>
        <w:t>“anayasa krizi”, çok daha derin çok daha tehlikeli bir aşamayı ifade ediyor. Dolayısıyla kavramın anlamını netleştirmeden bir sonuca varmak makul görünmüyor</w:t>
      </w:r>
      <w:r w:rsidR="00112A54">
        <w:t>.</w:t>
      </w:r>
    </w:p>
    <w:p w14:paraId="3F664C20" w14:textId="06DEBB43" w:rsidR="00B01099" w:rsidRPr="00000DBD" w:rsidRDefault="000A4362" w:rsidP="00653DD9">
      <w:pPr>
        <w:pStyle w:val="Heading2"/>
      </w:pPr>
      <w:bookmarkStart w:id="3" w:name="_Toc82898682"/>
      <w:r>
        <w:t>1</w:t>
      </w:r>
      <w:r w:rsidR="00B01099">
        <w:t xml:space="preserve">. </w:t>
      </w:r>
      <w:r w:rsidR="00B01099" w:rsidRPr="00000DBD">
        <w:t>Anayasa Krizi</w:t>
      </w:r>
      <w:bookmarkEnd w:id="3"/>
    </w:p>
    <w:p w14:paraId="528338D9" w14:textId="0B868CDB" w:rsidR="00B01099" w:rsidRDefault="00B01099" w:rsidP="00B01099">
      <w:pPr>
        <w:jc w:val="both"/>
      </w:pPr>
      <w:r>
        <w:t xml:space="preserve">Anayasa krizinin (veya anayasal kriz) ne anlama geldiği konusunda özellikle İngilizce literatürde son yıllarda genişlemekte olan bir birikim var. Bu literatürden hareket edersek anayasa krizi, özetle “anayasanın merkezi ödevini yerine getirememesi” anlamına geliyor. Gerçi anayasanın ödevinin ne olduğu konusunda farklı görüşler ileri sürülebilir ama aşağı yukarı </w:t>
      </w:r>
      <w:proofErr w:type="spellStart"/>
      <w:r>
        <w:t>oydaşılan</w:t>
      </w:r>
      <w:proofErr w:type="spellEnd"/>
      <w:r>
        <w:t xml:space="preserve"> nokta, bunun “şiddete, iç savaşa veya bölünmeye neden olmadan </w:t>
      </w:r>
      <w:r w:rsidR="00E16718">
        <w:t xml:space="preserve">anlaşmazlıkları </w:t>
      </w:r>
      <w:r>
        <w:t xml:space="preserve">olağan siyasetin ve kuralların içinde çözme olanaklarını </w:t>
      </w:r>
      <w:r w:rsidR="00401070">
        <w:t xml:space="preserve">insanlara </w:t>
      </w:r>
      <w:r>
        <w:t>sağlamak”</w:t>
      </w:r>
      <w:r w:rsidR="009E1D36">
        <w:t xml:space="preserve"> olduğudur</w:t>
      </w:r>
      <w:r>
        <w:t>.</w:t>
      </w:r>
      <w:r>
        <w:rPr>
          <w:rStyle w:val="FootnoteReference"/>
        </w:rPr>
        <w:footnoteReference w:id="6"/>
      </w:r>
      <w:r>
        <w:t xml:space="preserve"> Buna göre anayasa krizi, bunun başarısızlığa uğradığı yerde ortaya çıkar.</w:t>
      </w:r>
      <w:r w:rsidR="00B02F79">
        <w:rPr>
          <w:rStyle w:val="FootnoteReference"/>
        </w:rPr>
        <w:footnoteReference w:id="7"/>
      </w:r>
      <w:r>
        <w:t xml:space="preserve">  Bu başarısızlık ise özellikle üç durumda söz konusu olur:</w:t>
      </w:r>
      <w:r w:rsidRPr="00363687">
        <w:rPr>
          <w:rStyle w:val="FootnoteReference"/>
        </w:rPr>
        <w:t xml:space="preserve"> </w:t>
      </w:r>
      <w:r>
        <w:rPr>
          <w:rStyle w:val="FootnoteReference"/>
        </w:rPr>
        <w:footnoteReference w:id="8"/>
      </w:r>
    </w:p>
    <w:p w14:paraId="0F28B2C7" w14:textId="77777777" w:rsidR="00B01099" w:rsidRDefault="00B01099" w:rsidP="00B01099">
      <w:pPr>
        <w:ind w:left="708"/>
        <w:jc w:val="both"/>
      </w:pPr>
      <w:r>
        <w:t xml:space="preserve">(i) Yetkililerin (siyasetçiler veya askerlerin) Anayasa’ya itaat etmeyeceklerini ortaya koyduğu bir durumda. </w:t>
      </w:r>
    </w:p>
    <w:p w14:paraId="275F3CE2" w14:textId="77777777" w:rsidR="00B01099" w:rsidRDefault="00B01099" w:rsidP="00B01099">
      <w:pPr>
        <w:ind w:left="708"/>
        <w:jc w:val="both"/>
      </w:pPr>
      <w:r>
        <w:t>(ii) Anayasa, ülkenin içinde bulunduğu bir felaketin siyasi aktörlerce çözümüne engel oluşturduğunda.</w:t>
      </w:r>
    </w:p>
    <w:p w14:paraId="0BAF739C" w14:textId="77777777" w:rsidR="00B01099" w:rsidRDefault="00B01099" w:rsidP="00B01099">
      <w:pPr>
        <w:ind w:left="708"/>
        <w:jc w:val="both"/>
      </w:pPr>
      <w:r>
        <w:t xml:space="preserve">(iii) Çok sayıda öznenin Anayasa’ya uymayı reddettiği ve anlaşmazlıkların kaba kuvvet temelli olarak Anayasa dışı faktörlerle (ordunun seferber olduğu, silahlı sokak çatışmalarının yaşandığı) çözülmeye çalışıldığında. </w:t>
      </w:r>
    </w:p>
    <w:p w14:paraId="64F2E26A" w14:textId="3512E9C5" w:rsidR="00B01099" w:rsidRDefault="00B01099" w:rsidP="00B01099">
      <w:pPr>
        <w:jc w:val="both"/>
      </w:pPr>
      <w:r>
        <w:t>Bu düzeye ulaşmayan Anayasa’ya aykırılıklar, pek çok kişi bu konudaki rahatsızlığını “anayasa krizi” ifadesiyle dışa vursa dahi konumlarını ve savlarını güçlendirmek amacıyla kullandıkları bir abartı sayılabilir. Şu hâlde “anayasa krizi” -literatürdeki anlamıyla- peşinden büyük olasılıkla büyük davaların geleceği veya köklü bir değişimin yaşanacağı ileri bir aşama</w:t>
      </w:r>
      <w:r w:rsidR="00B81D67">
        <w:t>yı ifade ediyor.</w:t>
      </w:r>
    </w:p>
    <w:p w14:paraId="54E4E5EE" w14:textId="2BEE254A" w:rsidR="00B01099" w:rsidRPr="00000DBD" w:rsidRDefault="000A4362" w:rsidP="00653DD9">
      <w:pPr>
        <w:pStyle w:val="Heading2"/>
      </w:pPr>
      <w:bookmarkStart w:id="4" w:name="_Toc82898683"/>
      <w:r>
        <w:t>2</w:t>
      </w:r>
      <w:r w:rsidR="00B01099">
        <w:t xml:space="preserve">. </w:t>
      </w:r>
      <w:r w:rsidR="00B01099" w:rsidRPr="00000DBD">
        <w:t xml:space="preserve">“Anayasal </w:t>
      </w:r>
      <w:r w:rsidR="00B01099">
        <w:t>Zorlama</w:t>
      </w:r>
      <w:r w:rsidR="00B01099" w:rsidRPr="00000DBD">
        <w:t>”</w:t>
      </w:r>
      <w:r w:rsidR="00B07B66">
        <w:t xml:space="preserve">, “Anayasal Yozlaşma”, </w:t>
      </w:r>
      <w:r w:rsidR="00B01099" w:rsidRPr="00000DBD">
        <w:t>“Anayasal Çürüme</w:t>
      </w:r>
      <w:r w:rsidR="001E7C09">
        <w:t>”</w:t>
      </w:r>
      <w:bookmarkEnd w:id="4"/>
    </w:p>
    <w:p w14:paraId="6C55CB1A" w14:textId="43BB260E" w:rsidR="00B01099" w:rsidRDefault="00B01099" w:rsidP="00B01099">
      <w:pPr>
        <w:jc w:val="both"/>
      </w:pPr>
      <w:r>
        <w:t>Anayasa krizi kavramının ele alındığı bağlamlarda, bu konuda kalem oynatanların üzerinde durduğu iki kavram daha bulunuyor.</w:t>
      </w:r>
    </w:p>
    <w:p w14:paraId="325D9703" w14:textId="29E1B135" w:rsidR="00B01099" w:rsidRDefault="00B01099" w:rsidP="00B01099">
      <w:pPr>
        <w:jc w:val="both"/>
      </w:pPr>
      <w:r>
        <w:t xml:space="preserve">Bunlardan ilki Harvard Üniversitesi’nin emekli anayasa hukuku profesörü Mark </w:t>
      </w:r>
      <w:proofErr w:type="spellStart"/>
      <w:r>
        <w:t>Tushnet’in</w:t>
      </w:r>
      <w:proofErr w:type="spellEnd"/>
      <w:r>
        <w:t xml:space="preserve"> ortaya attığı “anayasal zorlama” (</w:t>
      </w:r>
      <w:proofErr w:type="spellStart"/>
      <w:r w:rsidRPr="003E7B6B">
        <w:rPr>
          <w:i/>
          <w:iCs/>
        </w:rPr>
        <w:t>constitutional</w:t>
      </w:r>
      <w:proofErr w:type="spellEnd"/>
      <w:r w:rsidRPr="003E7B6B">
        <w:rPr>
          <w:i/>
          <w:iCs/>
        </w:rPr>
        <w:t xml:space="preserve"> </w:t>
      </w:r>
      <w:proofErr w:type="spellStart"/>
      <w:r w:rsidRPr="003E7B6B">
        <w:rPr>
          <w:i/>
          <w:iCs/>
        </w:rPr>
        <w:t>hardball</w:t>
      </w:r>
      <w:proofErr w:type="spellEnd"/>
      <w:r>
        <w:t>) kavramı.</w:t>
      </w:r>
      <w:r>
        <w:rPr>
          <w:rStyle w:val="FootnoteReference"/>
        </w:rPr>
        <w:footnoteReference w:id="9"/>
      </w:r>
      <w:r>
        <w:t xml:space="preserve"> </w:t>
      </w:r>
      <w:proofErr w:type="spellStart"/>
      <w:r>
        <w:t>Tushnet</w:t>
      </w:r>
      <w:proofErr w:type="spellEnd"/>
      <w:r>
        <w:t xml:space="preserve"> bu kavramı, toplumsal ve siyasal olarak anayasanın teleolojik olarak açığa düşürüldüğü fakat kâğıt üzerinde anayasaya aykırılığın netçe söylenemediği sorunlu durumları nitelemek için kullanır. Kavram, hukukla siyasal tarihin arasında bir yerdeki gri alanlara özgüdür ve daha çok anayasal düzenin hakkaniyetli işlemesi için süregelen, yazılı olmayan anayasal </w:t>
      </w:r>
      <w:r w:rsidR="009A1CCC">
        <w:t>uygulama veya teamüllere</w:t>
      </w:r>
      <w:r>
        <w:t xml:space="preserve"> uyulmadığı durumlarda gündeme gelir. Siyasal öznelerin, anayasa hukuku kurallarının genel ve yoruma muhtaç kurallarından kaynaklanan boşlukları dolandığı veya bunları zorlayarak kendi yararlarına kimi kısa vadeli sonuçlar çıkaracak zorlamalara gittiği durumlar, böylesi örneklerdendir. </w:t>
      </w:r>
      <w:proofErr w:type="spellStart"/>
      <w:r>
        <w:t>Tushnet</w:t>
      </w:r>
      <w:proofErr w:type="spellEnd"/>
      <w:r>
        <w:t xml:space="preserve">, ABD’de Başkan Barack Obama’nın görevinin son günlerinde Yüksek </w:t>
      </w:r>
      <w:r>
        <w:lastRenderedPageBreak/>
        <w:t xml:space="preserve">Mahkeme üyesi ataması yapmak istemesine karşılık Senato’nun toplanmayarak buna engel olmasını buna örnek gösterir. </w:t>
      </w:r>
    </w:p>
    <w:p w14:paraId="4B771D97" w14:textId="52580596" w:rsidR="00B01099" w:rsidRDefault="00B01099" w:rsidP="00B01099">
      <w:pPr>
        <w:jc w:val="both"/>
      </w:pPr>
      <w:r>
        <w:t xml:space="preserve">Bu tür pratiklere net bir hukuksal karşı çıkış geliştirilemediği için anayasa, böylesi sert salvolara karşı kendini koruyamayabilir. Fakat bu durumlarda anayasa hâlâ yürürlüktedir, açıkça kuralları ortadan kaldırılmış değildir. Yaşanan şey, anayasal düzeni dolanmak, bu yolla Anayasa’nın prestijinin ve değerinin aşınmasına neden olmaktır. Buna karşı en çok “Anayasa’ya karşı hile yapıldığı” iddia edilebilir, ne var ki bunu kanıtlamak da kolay olmaz. </w:t>
      </w:r>
    </w:p>
    <w:p w14:paraId="33B6F8FB" w14:textId="10148CDF" w:rsidR="00B01099" w:rsidRDefault="00B01099" w:rsidP="00B01099">
      <w:pPr>
        <w:jc w:val="both"/>
      </w:pPr>
      <w:r>
        <w:t>Bağlam anayasa krizi olduğunda bir de “anayasal çürüme” (</w:t>
      </w:r>
      <w:proofErr w:type="spellStart"/>
      <w:r w:rsidRPr="002F0456">
        <w:rPr>
          <w:i/>
          <w:iCs/>
        </w:rPr>
        <w:t>constitutional</w:t>
      </w:r>
      <w:proofErr w:type="spellEnd"/>
      <w:r w:rsidRPr="002F0456">
        <w:rPr>
          <w:i/>
          <w:iCs/>
        </w:rPr>
        <w:t xml:space="preserve"> rot</w:t>
      </w:r>
      <w:r>
        <w:t xml:space="preserve">) </w:t>
      </w:r>
      <w:proofErr w:type="spellStart"/>
      <w:r>
        <w:t>türetiminin</w:t>
      </w:r>
      <w:proofErr w:type="spellEnd"/>
      <w:r>
        <w:t xml:space="preserve"> üzerinde durmak gerekiyor. Bu türetme, anayasal bir düzenin olduğu demokratik cumhuriyetlerde, anayasa hükümlerinin uzun süreler (anayasa krizleri göreli kısa sürelidir) boyunca süregelen bozulmaları nitelemek için kullanılıyor. </w:t>
      </w:r>
    </w:p>
    <w:p w14:paraId="0D7A87D5" w14:textId="53477390" w:rsidR="00B01099" w:rsidRDefault="00B01099" w:rsidP="00B01099">
      <w:pPr>
        <w:jc w:val="both"/>
      </w:pPr>
      <w:r>
        <w:t>Bu noktada kavram, yine hukukun ötesinde bir yere bakmamızı gerekli kılıyor. Şöyle ki d</w:t>
      </w:r>
      <w:r w:rsidRPr="003E1BB8">
        <w:t>emokratik anayasaların ayakta kalması</w:t>
      </w:r>
      <w:r>
        <w:t>,</w:t>
      </w:r>
      <w:r w:rsidRPr="003E1BB8">
        <w:t xml:space="preserve"> kanunlara itaatten fazlasına, yani hırsı ve iktidarları frenleyen ve denetleyen kurumların iyi çalışmasına bağlıdır. Bu kurumların iyi çalışmasını destekleyecek temel faktörse </w:t>
      </w:r>
      <w:r w:rsidR="002213C3">
        <w:t xml:space="preserve">her </w:t>
      </w:r>
      <w:r>
        <w:t>yetkili</w:t>
      </w:r>
      <w:r w:rsidR="002213C3">
        <w:t>nin</w:t>
      </w:r>
      <w:r w:rsidRPr="003E1BB8">
        <w:t xml:space="preserve"> kendi</w:t>
      </w:r>
      <w:r w:rsidR="002213C3">
        <w:t>si</w:t>
      </w:r>
      <w:r w:rsidRPr="003E1BB8">
        <w:t>nin veya ahba</w:t>
      </w:r>
      <w:r w:rsidR="00AB0047">
        <w:t>bı</w:t>
      </w:r>
      <w:r w:rsidRPr="003E1BB8">
        <w:t>nın kişisel çıkarları için değil</w:t>
      </w:r>
      <w:r w:rsidR="00B81D67">
        <w:t xml:space="preserve">, </w:t>
      </w:r>
      <w:r w:rsidRPr="003E1BB8">
        <w:t>kamu yararına çalışaca</w:t>
      </w:r>
      <w:r w:rsidR="00F34C89">
        <w:t>ğı</w:t>
      </w:r>
      <w:r w:rsidRPr="003E1BB8">
        <w:t xml:space="preserve">na dair kamuoyu güvenidir. Ayrıca siyasi aktörlerin de rakiplerine karşı </w:t>
      </w:r>
      <w:r>
        <w:t>“</w:t>
      </w:r>
      <w:r w:rsidRPr="003E1BB8">
        <w:t xml:space="preserve">adil </w:t>
      </w:r>
      <w:r w:rsidR="00B81D67">
        <w:t>oyun</w:t>
      </w:r>
      <w:r>
        <w:t>”</w:t>
      </w:r>
      <w:r w:rsidR="00B81D67">
        <w:t xml:space="preserve"> (</w:t>
      </w:r>
      <w:proofErr w:type="spellStart"/>
      <w:r w:rsidR="00B81D67" w:rsidRPr="00B81D67">
        <w:rPr>
          <w:i/>
          <w:iCs/>
        </w:rPr>
        <w:t>fair</w:t>
      </w:r>
      <w:proofErr w:type="spellEnd"/>
      <w:r w:rsidR="00B81D67" w:rsidRPr="00B81D67">
        <w:rPr>
          <w:i/>
          <w:iCs/>
        </w:rPr>
        <w:t xml:space="preserve"> </w:t>
      </w:r>
      <w:proofErr w:type="spellStart"/>
      <w:r w:rsidR="00B81D67" w:rsidRPr="00B81D67">
        <w:rPr>
          <w:i/>
          <w:iCs/>
        </w:rPr>
        <w:t>play</w:t>
      </w:r>
      <w:proofErr w:type="spellEnd"/>
      <w:r w:rsidR="00B81D67">
        <w:t>)</w:t>
      </w:r>
      <w:r w:rsidRPr="003E1BB8">
        <w:t xml:space="preserve"> içinde kalmaları önem taşır.</w:t>
      </w:r>
      <w:r>
        <w:t xml:space="preserve"> Bu anlamını, siyasal yarışımda hileye dayanmamak, hatta en anlaşmazlık yaşanan durumda dahi bel altına vurmamak ve kısa vadeli hesaplar kadar hatta onlardan önce uzun vadeli kamusal yararı gözetmekle bulur. İşte anayasal çürüme, bu başlıklardaki sürekli aşınma ve bozulmanın sonucudur. Küçük bozulmaların sonu çürümeye varır. </w:t>
      </w:r>
      <w:proofErr w:type="spellStart"/>
      <w:r>
        <w:t>Jack</w:t>
      </w:r>
      <w:proofErr w:type="spellEnd"/>
      <w:r>
        <w:t xml:space="preserve"> </w:t>
      </w:r>
      <w:proofErr w:type="spellStart"/>
      <w:r>
        <w:t>Balkin’e</w:t>
      </w:r>
      <w:proofErr w:type="spellEnd"/>
      <w:r>
        <w:t xml:space="preserve"> göre:</w:t>
      </w:r>
    </w:p>
    <w:p w14:paraId="30B9B745" w14:textId="77777777" w:rsidR="00B01099" w:rsidRDefault="00B01099" w:rsidP="00B01099">
      <w:pPr>
        <w:ind w:left="708"/>
        <w:jc w:val="both"/>
      </w:pPr>
      <w:r>
        <w:t>“</w:t>
      </w:r>
      <w:r w:rsidRPr="002034CA">
        <w:t>Anayasal çürüme meydana geldikçe</w:t>
      </w:r>
      <w:r>
        <w:t xml:space="preserve"> </w:t>
      </w:r>
      <w:r w:rsidRPr="002034CA">
        <w:t>sistem</w:t>
      </w:r>
      <w:r>
        <w:t>, hem</w:t>
      </w:r>
      <w:r w:rsidRPr="002034CA">
        <w:t xml:space="preserve"> daha az demokratik ve daha az cumhuriyetçi h</w:t>
      </w:r>
      <w:r>
        <w:t>â</w:t>
      </w:r>
      <w:r w:rsidRPr="002034CA">
        <w:t xml:space="preserve">le </w:t>
      </w:r>
      <w:r>
        <w:t>gelir</w:t>
      </w:r>
      <w:r w:rsidRPr="002034CA">
        <w:t>. Siyasal sistem daha az demokratik</w:t>
      </w:r>
      <w:r>
        <w:t xml:space="preserve">tir </w:t>
      </w:r>
      <w:r w:rsidRPr="002034CA">
        <w:t xml:space="preserve">çünkü devletin gücü, halkın görüşüne ve iradesine daha az duyarlı hale gelir. </w:t>
      </w:r>
      <w:r>
        <w:t>D</w:t>
      </w:r>
      <w:r w:rsidRPr="002034CA">
        <w:t>aha az cumhuriyetçi</w:t>
      </w:r>
      <w:r>
        <w:t>dir</w:t>
      </w:r>
      <w:r w:rsidRPr="002034CA">
        <w:t xml:space="preserve"> çünkü temsilciler kendilerini artık kamu yararını desteklemeye </w:t>
      </w:r>
      <w:r>
        <w:t>adamaz</w:t>
      </w:r>
      <w:r w:rsidRPr="002034CA">
        <w:t>; bunun yerine, kendilerini iktidarda tutmaya ve nispeten küçük</w:t>
      </w:r>
      <w:r>
        <w:t xml:space="preserve"> ama </w:t>
      </w:r>
      <w:r w:rsidRPr="002034CA">
        <w:t xml:space="preserve">güçlü birey ve grubu memnun etmeye çalışırlar. Bu gerçekleştiğinde, cumhuriyetçi temsil </w:t>
      </w:r>
      <w:r>
        <w:t>projesi</w:t>
      </w:r>
      <w:r w:rsidRPr="002034CA">
        <w:t xml:space="preserve"> başarısız</w:t>
      </w:r>
      <w:r>
        <w:t>lığa uğrar.</w:t>
      </w:r>
      <w:r w:rsidRPr="002034CA">
        <w:t xml:space="preserve"> </w:t>
      </w:r>
      <w:r>
        <w:t>S</w:t>
      </w:r>
      <w:r w:rsidRPr="002034CA">
        <w:t>istem</w:t>
      </w:r>
      <w:r>
        <w:t>, hâlâ seçimlerin gerçekleşmesi</w:t>
      </w:r>
      <w:r w:rsidRPr="002034CA">
        <w:t xml:space="preserve"> anlamında resm</w:t>
      </w:r>
      <w:r>
        <w:t>î</w:t>
      </w:r>
      <w:r w:rsidRPr="002034CA">
        <w:t xml:space="preserve"> </w:t>
      </w:r>
      <w:r>
        <w:t>açıdan</w:t>
      </w:r>
      <w:r w:rsidRPr="002034CA">
        <w:t xml:space="preserve"> temsil</w:t>
      </w:r>
      <w:r>
        <w:t>e dayansa</w:t>
      </w:r>
      <w:r w:rsidRPr="002034CA">
        <w:t xml:space="preserve"> </w:t>
      </w:r>
      <w:r>
        <w:t>da</w:t>
      </w:r>
      <w:r w:rsidRPr="002034CA">
        <w:t xml:space="preserve"> sonuç oligarşidir.</w:t>
      </w:r>
      <w:r>
        <w:t>”</w:t>
      </w:r>
      <w:r>
        <w:rPr>
          <w:rStyle w:val="FootnoteReference"/>
        </w:rPr>
        <w:footnoteReference w:id="10"/>
      </w:r>
    </w:p>
    <w:p w14:paraId="5FB89114" w14:textId="77777777" w:rsidR="00B01099" w:rsidRDefault="00B01099" w:rsidP="00B01099">
      <w:pPr>
        <w:jc w:val="both"/>
      </w:pPr>
      <w:r>
        <w:t xml:space="preserve">Aynı perspektiften; anayasal aşınmayı hızlandıran faktörler şöyle sıralanabilir: </w:t>
      </w:r>
    </w:p>
    <w:p w14:paraId="46A2A340" w14:textId="77777777" w:rsidR="00B01099" w:rsidRDefault="00B01099" w:rsidP="00B01099">
      <w:pPr>
        <w:ind w:firstLine="708"/>
        <w:jc w:val="both"/>
      </w:pPr>
      <w:r>
        <w:t>(i) H</w:t>
      </w:r>
      <w:r w:rsidRPr="002034CA">
        <w:t>em iktidara hem de diğer yurttaşlara dönük güven kaybı</w:t>
      </w:r>
      <w:r>
        <w:t>.</w:t>
      </w:r>
      <w:r w:rsidRPr="002034CA">
        <w:t xml:space="preserve"> </w:t>
      </w:r>
    </w:p>
    <w:p w14:paraId="685DB92C" w14:textId="77777777" w:rsidR="00B01099" w:rsidRDefault="00B01099" w:rsidP="00B01099">
      <w:pPr>
        <w:ind w:left="708"/>
        <w:jc w:val="both"/>
      </w:pPr>
      <w:r>
        <w:t>(ii) Tutarlı bir politik</w:t>
      </w:r>
      <w:r w:rsidRPr="002034CA">
        <w:t xml:space="preserve"> programa dayanmayan ve gündelik </w:t>
      </w:r>
      <w:r>
        <w:t xml:space="preserve">yüzeysel </w:t>
      </w:r>
      <w:r w:rsidRPr="002034CA">
        <w:t>polemiklerden beslenen aşırı kutuplaşmanın yurttaşlar arasında düşmanlık düzeyine ulaşması</w:t>
      </w:r>
      <w:r>
        <w:t>.</w:t>
      </w:r>
    </w:p>
    <w:p w14:paraId="6E95AE8A" w14:textId="77777777" w:rsidR="00B01099" w:rsidRDefault="00B01099" w:rsidP="00B01099">
      <w:pPr>
        <w:ind w:left="708"/>
        <w:jc w:val="both"/>
      </w:pPr>
      <w:r>
        <w:t>(iii) D</w:t>
      </w:r>
      <w:r w:rsidRPr="002034CA">
        <w:t>erinleşen ve kronikleşen ekonomik eşitsizlikler</w:t>
      </w:r>
      <w:r>
        <w:t>.</w:t>
      </w:r>
    </w:p>
    <w:p w14:paraId="7F55D100" w14:textId="77777777" w:rsidR="00B01099" w:rsidRDefault="00B01099" w:rsidP="00B01099">
      <w:pPr>
        <w:ind w:left="708"/>
        <w:jc w:val="both"/>
      </w:pPr>
      <w:r>
        <w:t>(iv) B</w:t>
      </w:r>
      <w:r w:rsidRPr="002034CA">
        <w:t>asiretsiz</w:t>
      </w:r>
      <w:r>
        <w:t xml:space="preserve"> politikaların siyasal felakete dönüşmesi.</w:t>
      </w:r>
    </w:p>
    <w:p w14:paraId="1A3FEA5C" w14:textId="7DAFCE69" w:rsidR="00B01099" w:rsidRDefault="00B01099" w:rsidP="00B01099">
      <w:pPr>
        <w:jc w:val="both"/>
      </w:pPr>
      <w:r>
        <w:t xml:space="preserve">Bu faktörler anayasal çürümeye neden </w:t>
      </w:r>
      <w:r w:rsidR="001361AA">
        <w:t xml:space="preserve">olur ve </w:t>
      </w:r>
      <w:r>
        <w:t>uzun vadede anayasal krizin habercisidir. Öyle ki her anayasal çürümenin aslında ağır çekim bir anayasal kriz anlamına geldiği de pekâlâ söylenebilir.</w:t>
      </w:r>
      <w:r w:rsidR="009A1CCC">
        <w:rPr>
          <w:rStyle w:val="FootnoteReference"/>
        </w:rPr>
        <w:footnoteReference w:id="11"/>
      </w:r>
      <w:r>
        <w:t xml:space="preserve"> </w:t>
      </w:r>
    </w:p>
    <w:p w14:paraId="191A55D1" w14:textId="0BF254C4" w:rsidR="00375BB1" w:rsidRDefault="00E97418" w:rsidP="00375BB1">
      <w:pPr>
        <w:jc w:val="both"/>
      </w:pPr>
      <w:r>
        <w:t>Bu son belirleme, “bozulma” (</w:t>
      </w:r>
      <w:proofErr w:type="spellStart"/>
      <w:r w:rsidRPr="00B61336">
        <w:rPr>
          <w:i/>
          <w:iCs/>
        </w:rPr>
        <w:t>constitutional</w:t>
      </w:r>
      <w:proofErr w:type="spellEnd"/>
      <w:r w:rsidRPr="00B61336">
        <w:rPr>
          <w:i/>
          <w:iCs/>
        </w:rPr>
        <w:t xml:space="preserve"> </w:t>
      </w:r>
      <w:proofErr w:type="spellStart"/>
      <w:r w:rsidRPr="00B61336">
        <w:rPr>
          <w:i/>
          <w:iCs/>
        </w:rPr>
        <w:t>decay</w:t>
      </w:r>
      <w:proofErr w:type="spellEnd"/>
      <w:r>
        <w:t>), “erozyon” (</w:t>
      </w:r>
      <w:proofErr w:type="spellStart"/>
      <w:r w:rsidRPr="00B61336">
        <w:rPr>
          <w:i/>
          <w:iCs/>
        </w:rPr>
        <w:t>constituitonal</w:t>
      </w:r>
      <w:proofErr w:type="spellEnd"/>
      <w:r w:rsidRPr="00B61336">
        <w:rPr>
          <w:i/>
          <w:iCs/>
        </w:rPr>
        <w:t xml:space="preserve"> </w:t>
      </w:r>
      <w:proofErr w:type="spellStart"/>
      <w:r w:rsidRPr="00B61336">
        <w:rPr>
          <w:i/>
          <w:iCs/>
        </w:rPr>
        <w:t>erosion</w:t>
      </w:r>
      <w:proofErr w:type="spellEnd"/>
      <w:r>
        <w:t>) “yozlaşma” (</w:t>
      </w:r>
      <w:proofErr w:type="spellStart"/>
      <w:r w:rsidRPr="00FE4B72">
        <w:rPr>
          <w:i/>
          <w:iCs/>
        </w:rPr>
        <w:t>constitutional</w:t>
      </w:r>
      <w:proofErr w:type="spellEnd"/>
      <w:r w:rsidRPr="00FE4B72">
        <w:rPr>
          <w:i/>
          <w:iCs/>
        </w:rPr>
        <w:t xml:space="preserve"> </w:t>
      </w:r>
      <w:proofErr w:type="spellStart"/>
      <w:r w:rsidRPr="00FE4B72">
        <w:rPr>
          <w:i/>
          <w:iCs/>
        </w:rPr>
        <w:t>degeneration</w:t>
      </w:r>
      <w:proofErr w:type="spellEnd"/>
      <w:r>
        <w:t xml:space="preserve">) gibi kavramlarla da ifade edilen bir kategoriye de </w:t>
      </w:r>
      <w:r>
        <w:lastRenderedPageBreak/>
        <w:t xml:space="preserve">denk </w:t>
      </w:r>
      <w:r w:rsidR="00287469">
        <w:t>düşer</w:t>
      </w:r>
      <w:r>
        <w:t>.</w:t>
      </w:r>
      <w:r>
        <w:rPr>
          <w:rStyle w:val="FootnoteReference"/>
        </w:rPr>
        <w:footnoteReference w:id="12"/>
      </w:r>
      <w:r>
        <w:t xml:space="preserve"> Burada ayrıntılarına girmek mümkün olmasa da kavramların ortak keseni “anayasal demokrasinin yapılarının ve özünün kademeli olarak bozulması </w:t>
      </w:r>
      <w:proofErr w:type="spellStart"/>
      <w:r>
        <w:t>süreci”ni</w:t>
      </w:r>
      <w:proofErr w:type="spellEnd"/>
      <w:r>
        <w:t xml:space="preserve"> </w:t>
      </w:r>
      <w:r w:rsidR="00B07B66">
        <w:t>anlatmalarıdır</w:t>
      </w:r>
      <w:r>
        <w:t>.</w:t>
      </w:r>
      <w:r>
        <w:rPr>
          <w:rStyle w:val="FootnoteReference"/>
        </w:rPr>
        <w:footnoteReference w:id="13"/>
      </w:r>
      <w:r w:rsidR="00375BB1">
        <w:t xml:space="preserve"> Bu çalışmalar</w:t>
      </w:r>
      <w:r w:rsidR="00B07B66">
        <w:t>dan edindiğimiz izlenim</w:t>
      </w:r>
      <w:r w:rsidR="00375BB1">
        <w:t>, tek tek ele alındığında hukuken</w:t>
      </w:r>
      <w:r w:rsidR="00375BB1" w:rsidRPr="00375BB1">
        <w:t xml:space="preserve"> sorunsuz veya münferit bir sorun olarak görülebilecek adımlar</w:t>
      </w:r>
      <w:r w:rsidR="00375BB1">
        <w:t xml:space="preserve">ın, ancak bütünsel olarak kavrandığında bir çıkar ağının otoriter ve kişisel amaçlarla inşa ettiği bir süreci ifade etmeleridir. Bu bağlamda otoriter iktidarlar, </w:t>
      </w:r>
      <w:r w:rsidR="00B07B66">
        <w:t xml:space="preserve">geçmişte aşinası olduğumuz </w:t>
      </w:r>
      <w:r w:rsidR="00375BB1">
        <w:t>ani hükûmet darbeleri veya karşı</w:t>
      </w:r>
      <w:r w:rsidR="002C3114">
        <w:t xml:space="preserve"> </w:t>
      </w:r>
      <w:r w:rsidR="00375BB1">
        <w:t>devrim süreçlerinden farklı olara</w:t>
      </w:r>
      <w:r w:rsidR="00B07B66">
        <w:t>k</w:t>
      </w:r>
      <w:r w:rsidR="00375BB1">
        <w:t xml:space="preserve">, </w:t>
      </w:r>
      <w:r w:rsidR="00375BB1" w:rsidRPr="00375BB1">
        <w:t xml:space="preserve">milim milim </w:t>
      </w:r>
      <w:r w:rsidR="00375BB1">
        <w:t>tırtıklar</w:t>
      </w:r>
      <w:r w:rsidR="00375BB1" w:rsidRPr="00375BB1">
        <w:t xml:space="preserve"> ve otoriter rejimi alıştıra </w:t>
      </w:r>
      <w:proofErr w:type="spellStart"/>
      <w:r w:rsidR="00B07B66">
        <w:t>alıştıra</w:t>
      </w:r>
      <w:proofErr w:type="spellEnd"/>
      <w:r w:rsidR="00375BB1" w:rsidRPr="00375BB1">
        <w:t xml:space="preserve"> inşa </w:t>
      </w:r>
      <w:r w:rsidR="00375BB1">
        <w:t>eder</w:t>
      </w:r>
      <w:r w:rsidR="00B07B66">
        <w:t>.</w:t>
      </w:r>
      <w:r w:rsidR="00B07B66">
        <w:rPr>
          <w:rStyle w:val="FootnoteReference"/>
        </w:rPr>
        <w:footnoteReference w:id="14"/>
      </w:r>
    </w:p>
    <w:p w14:paraId="4D42A6EA" w14:textId="25506114" w:rsidR="00375BB1" w:rsidRDefault="00375BB1" w:rsidP="00B01099">
      <w:pPr>
        <w:jc w:val="both"/>
      </w:pPr>
      <w:r>
        <w:t>Şu hâlde bir kademelendirme yapmak gerekirse anayasal zorlamalarla başlayan “hukuksal” adımlar, iktidarın otoriter eğilimleriyle birlikte bir anayasal yozlaşma sürecinin önünü açıyor, bunun uzun sürmesi</w:t>
      </w:r>
      <w:r w:rsidR="005F4C2B">
        <w:t xml:space="preserve">, </w:t>
      </w:r>
      <w:r>
        <w:t xml:space="preserve">nihayetinde </w:t>
      </w:r>
      <w:r w:rsidR="005F4C2B">
        <w:t xml:space="preserve">bir </w:t>
      </w:r>
      <w:r>
        <w:t xml:space="preserve">anayasal krize neden oluyor. </w:t>
      </w:r>
    </w:p>
    <w:p w14:paraId="6E9648F8" w14:textId="2AF3F641" w:rsidR="00375BB1" w:rsidRDefault="00375BB1" w:rsidP="00B01099">
      <w:pPr>
        <w:jc w:val="both"/>
      </w:pPr>
      <w:r>
        <w:t xml:space="preserve">Peki anlık olması beklenen </w:t>
      </w:r>
      <w:r w:rsidR="00B81D67">
        <w:t xml:space="preserve">bir </w:t>
      </w:r>
      <w:r>
        <w:t>krizin</w:t>
      </w:r>
      <w:r w:rsidR="00B81D67">
        <w:t xml:space="preserve">, </w:t>
      </w:r>
      <w:r>
        <w:t xml:space="preserve">süreklilik kazanması mümkün mü? </w:t>
      </w:r>
      <w:r w:rsidR="005F4C2B">
        <w:t>İşte b</w:t>
      </w:r>
      <w:r>
        <w:t xml:space="preserve">u soru da bizi “hukuksuzluk devleti” kavramına ulaştırıyor. </w:t>
      </w:r>
    </w:p>
    <w:p w14:paraId="210E7A8E" w14:textId="69231AC2" w:rsidR="00B01099" w:rsidRDefault="000A4362" w:rsidP="00653DD9">
      <w:pPr>
        <w:pStyle w:val="Heading2"/>
      </w:pPr>
      <w:bookmarkStart w:id="5" w:name="_Toc82898684"/>
      <w:r>
        <w:t>3</w:t>
      </w:r>
      <w:r w:rsidR="00B01099" w:rsidRPr="00D901DD">
        <w:t>. Hukuksuzluk Devleti</w:t>
      </w:r>
      <w:bookmarkEnd w:id="5"/>
    </w:p>
    <w:p w14:paraId="3D9171D7" w14:textId="77777777" w:rsidR="00E5125F" w:rsidRDefault="00B01099" w:rsidP="00B01099">
      <w:pPr>
        <w:jc w:val="both"/>
      </w:pPr>
      <w:r>
        <w:t xml:space="preserve">Anayasa krizi kavramının öncülü olarak “anayasal zorlama” veya “anayasal çürüme” kavramlarından bahsettik. Oysa bir de bu krizin etrafını çevreleyen ve onu aşıp daha ileri seviyesini tanımlayan çok daha bağlamsal bir başka kavram daha var. Alman kültür çevresinden gelen bu kavram, “hukuksuzluk devleti”. </w:t>
      </w:r>
    </w:p>
    <w:p w14:paraId="438056BA" w14:textId="0FB872E4" w:rsidR="00B01099" w:rsidRDefault="00B01099" w:rsidP="00B01099">
      <w:pPr>
        <w:jc w:val="both"/>
      </w:pPr>
      <w:r>
        <w:t>Kanımca hukuksuzluk devleti, anlık ve geçici olduğu varsayılan anayasa krizinin bir tür sistemli hâle gelmesini anlatıyor.</w:t>
      </w:r>
      <w:r w:rsidR="00014242">
        <w:rPr>
          <w:rStyle w:val="FootnoteReference"/>
        </w:rPr>
        <w:footnoteReference w:id="15"/>
      </w:r>
    </w:p>
    <w:p w14:paraId="2D8BFFCE" w14:textId="47EE71AE" w:rsidR="00B01099" w:rsidRDefault="00B01099" w:rsidP="00B01099">
      <w:pPr>
        <w:jc w:val="both"/>
      </w:pPr>
      <w:r>
        <w:t>Kavramın çağrışımı açık. Hukuk devletine karşıtlık. Almanya</w:t>
      </w:r>
      <w:r w:rsidR="00287469">
        <w:t>’</w:t>
      </w:r>
      <w:r>
        <w:t>dan mülhem hukuk devletinin (</w:t>
      </w:r>
      <w:proofErr w:type="spellStart"/>
      <w:r w:rsidRPr="009E0FFA">
        <w:rPr>
          <w:i/>
          <w:iCs/>
        </w:rPr>
        <w:t>Rechtsstaat</w:t>
      </w:r>
      <w:proofErr w:type="spellEnd"/>
      <w:r>
        <w:t>) ne anlama geldiğini hatırlayalım. En kaba tanımıyla hukuk devleti, “</w:t>
      </w:r>
      <w:r w:rsidRPr="009E0FFA">
        <w:t xml:space="preserve">bireylerin </w:t>
      </w:r>
      <w:proofErr w:type="spellStart"/>
      <w:r w:rsidRPr="009E0FFA">
        <w:t>keyfîlikten</w:t>
      </w:r>
      <w:proofErr w:type="spellEnd"/>
      <w:r w:rsidRPr="009E0FFA">
        <w:t xml:space="preserve"> korunmaları ve kamu hizmetlerinin kamusal yarara uygun olarak yerine getirilmesi için idarenin; öngörülebilir, ulaşılabilir ve belirli nitelikteki kanunlara dayanıp onlara uygun olarak hareket ettiği ve bunun bağımsız mahkemelerce denetlendiği </w:t>
      </w:r>
      <w:proofErr w:type="spellStart"/>
      <w:r w:rsidRPr="009E0FFA">
        <w:t>devle</w:t>
      </w:r>
      <w:r>
        <w:t>t”</w:t>
      </w:r>
      <w:r w:rsidR="00E97418">
        <w:t>tir</w:t>
      </w:r>
      <w:proofErr w:type="spellEnd"/>
      <w:r w:rsidR="00E97418">
        <w:t xml:space="preserve">. </w:t>
      </w:r>
      <w:r>
        <w:t>Başlarda</w:t>
      </w:r>
      <w:r w:rsidRPr="009E0FFA">
        <w:t xml:space="preserve"> liberal ve muhafazakâr çevrelerin sahiplendiği bu ilke, </w:t>
      </w:r>
      <w:r>
        <w:t>“</w:t>
      </w:r>
      <w:r w:rsidRPr="009E0FFA">
        <w:t>iktidara etkili kısıtlamaların dayatılması ve yurttaşların iktidarın her şeye karışma isteklerine karşı savunulması, bana kayıtsız şartsız her insan için iyi olan bir şey gibi görünüyor</w:t>
      </w:r>
      <w:r>
        <w:t>”</w:t>
      </w:r>
      <w:r w:rsidRPr="009E0FFA">
        <w:t xml:space="preserve"> diyen Marksist tarihçi E. P. </w:t>
      </w:r>
      <w:proofErr w:type="spellStart"/>
      <w:r w:rsidRPr="009E0FFA">
        <w:t>Thompson</w:t>
      </w:r>
      <w:r w:rsidR="00E97418">
        <w:t>’</w:t>
      </w:r>
      <w:r w:rsidRPr="009E0FFA">
        <w:t>un</w:t>
      </w:r>
      <w:proofErr w:type="spellEnd"/>
      <w:r w:rsidRPr="009E0FFA">
        <w:t xml:space="preserve"> da </w:t>
      </w:r>
      <w:r>
        <w:t>değindiği üzere</w:t>
      </w:r>
      <w:r w:rsidRPr="009E0FFA">
        <w:t>, evrensel bir asgari eşiğe dönüşmüş bulunuyor.</w:t>
      </w:r>
      <w:r>
        <w:rPr>
          <w:rStyle w:val="FootnoteReference"/>
        </w:rPr>
        <w:footnoteReference w:id="16"/>
      </w:r>
      <w:r w:rsidRPr="009E0FFA">
        <w:t xml:space="preserve"> </w:t>
      </w:r>
    </w:p>
    <w:p w14:paraId="6EE13A54" w14:textId="77777777" w:rsidR="00B01099" w:rsidRDefault="00B01099" w:rsidP="00B01099">
      <w:pPr>
        <w:jc w:val="both"/>
      </w:pPr>
      <w:r>
        <w:t xml:space="preserve">Yani hukuk devleti konusunda azımsanmayacak bir </w:t>
      </w:r>
      <w:proofErr w:type="spellStart"/>
      <w:r>
        <w:t>oydaşma</w:t>
      </w:r>
      <w:proofErr w:type="spellEnd"/>
      <w:r>
        <w:t xml:space="preserve"> var. Bu </w:t>
      </w:r>
      <w:proofErr w:type="spellStart"/>
      <w:r>
        <w:t>oydaşma</w:t>
      </w:r>
      <w:proofErr w:type="spellEnd"/>
      <w:r>
        <w:t>, kavramın bir bariyer olmasından (başka bir deyişle ne olduğu kadar ne olmadığından) da kaynaklanıyor. Şöyle ki Almanca ve Türkçe yazında, hukuk devleti olmayan devletler için kullanılan “</w:t>
      </w:r>
      <w:r w:rsidRPr="009E0FFA">
        <w:t xml:space="preserve">polis </w:t>
      </w:r>
      <w:r w:rsidRPr="009E0FFA">
        <w:lastRenderedPageBreak/>
        <w:t xml:space="preserve">devleti", "iktidar devleti", "güç devleti", </w:t>
      </w:r>
      <w:proofErr w:type="spellStart"/>
      <w:r w:rsidRPr="009E0FFA">
        <w:t>keyfîlik</w:t>
      </w:r>
      <w:proofErr w:type="spellEnd"/>
      <w:r w:rsidRPr="009E0FFA">
        <w:t xml:space="preserve"> devleti" gibi </w:t>
      </w:r>
      <w:r>
        <w:t>devlet biçimlerine karşı bir bariyer olduğu kabul edilir.</w:t>
      </w:r>
    </w:p>
    <w:p w14:paraId="5187A712" w14:textId="77777777" w:rsidR="00B01099" w:rsidRDefault="00B01099" w:rsidP="00B01099">
      <w:pPr>
        <w:jc w:val="both"/>
      </w:pPr>
      <w:r>
        <w:t xml:space="preserve">Hukuk devleti fazlasıyla çiğnenmiştir. Peki “hukuksuzluk devleti” ne anlama gelir? </w:t>
      </w:r>
      <w:r w:rsidRPr="009E0FFA">
        <w:t>"</w:t>
      </w:r>
      <w:r>
        <w:t>H</w:t>
      </w:r>
      <w:r w:rsidRPr="009E0FFA">
        <w:t>ukuksuzluk devleti" (</w:t>
      </w:r>
      <w:proofErr w:type="spellStart"/>
      <w:r w:rsidRPr="009E0FFA">
        <w:rPr>
          <w:i/>
          <w:iCs/>
        </w:rPr>
        <w:t>Unrechtsstaat</w:t>
      </w:r>
      <w:proofErr w:type="spellEnd"/>
      <w:r w:rsidRPr="009E0FFA">
        <w:t xml:space="preserve">), hukuk devletlerinin </w:t>
      </w:r>
      <w:r>
        <w:t>henüz var olmadığı “</w:t>
      </w:r>
      <w:proofErr w:type="spellStart"/>
      <w:r>
        <w:t>premodern</w:t>
      </w:r>
      <w:proofErr w:type="spellEnd"/>
      <w:r>
        <w:t>”</w:t>
      </w:r>
      <w:r w:rsidRPr="009E0FFA">
        <w:t xml:space="preserve"> devlet yapılarını (söz gelimi Göktürkler</w:t>
      </w:r>
      <w:r>
        <w:t xml:space="preserve">, </w:t>
      </w:r>
      <w:r w:rsidRPr="009E0FFA">
        <w:t>Selçuklu Devleti v</w:t>
      </w:r>
      <w:r>
        <w:t>b.</w:t>
      </w:r>
      <w:r w:rsidRPr="009E0FFA">
        <w:t xml:space="preserve">) veya modern zamanlarda sadece hukuk devletinin gereklerini karşılayamama durumunu imleyen "hukuk devleti </w:t>
      </w:r>
      <w:proofErr w:type="spellStart"/>
      <w:r w:rsidRPr="009E0FFA">
        <w:t>olmama"dan</w:t>
      </w:r>
      <w:proofErr w:type="spellEnd"/>
      <w:r w:rsidRPr="009E0FFA">
        <w:t xml:space="preserve"> (</w:t>
      </w:r>
      <w:proofErr w:type="spellStart"/>
      <w:r w:rsidRPr="00003A01">
        <w:rPr>
          <w:i/>
          <w:iCs/>
        </w:rPr>
        <w:t>Nicht-Rechtsstaat</w:t>
      </w:r>
      <w:proofErr w:type="spellEnd"/>
      <w:r w:rsidRPr="009E0FFA">
        <w:t xml:space="preserve">) </w:t>
      </w:r>
      <w:r>
        <w:t>farklı bir anlamı çağrıştırır</w:t>
      </w:r>
      <w:r w:rsidRPr="009E0FFA">
        <w:t>.</w:t>
      </w:r>
      <w:r>
        <w:rPr>
          <w:rStyle w:val="FootnoteReference"/>
        </w:rPr>
        <w:footnoteReference w:id="17"/>
      </w:r>
      <w:r w:rsidRPr="009E0FFA">
        <w:t xml:space="preserve"> Bir devletin </w:t>
      </w:r>
      <w:r>
        <w:t>“</w:t>
      </w:r>
      <w:r w:rsidRPr="009E0FFA">
        <w:t>hukuk devleti</w:t>
      </w:r>
      <w:r>
        <w:t>”</w:t>
      </w:r>
      <w:r w:rsidRPr="009E0FFA">
        <w:t xml:space="preserve"> </w:t>
      </w:r>
      <w:proofErr w:type="gramStart"/>
      <w:r w:rsidRPr="009E0FFA">
        <w:t>ol</w:t>
      </w:r>
      <w:r>
        <w:t>(</w:t>
      </w:r>
      <w:proofErr w:type="gramEnd"/>
      <w:r w:rsidRPr="009E0FFA">
        <w:t>a</w:t>
      </w:r>
      <w:r>
        <w:t>)</w:t>
      </w:r>
      <w:r w:rsidRPr="009E0FFA">
        <w:t>maması onu "hukuksuzluk devleti" kılmaz. Tersten söylersek</w:t>
      </w:r>
      <w:r>
        <w:t xml:space="preserve">; bir </w:t>
      </w:r>
      <w:r w:rsidRPr="009E0FFA">
        <w:t xml:space="preserve">"hukuksuzluk devleti", "hukuk devleti" olamamaktan daha fazlasıdır. </w:t>
      </w:r>
      <w:proofErr w:type="spellStart"/>
      <w:r w:rsidRPr="009E0FFA">
        <w:t>Reichensberger</w:t>
      </w:r>
      <w:r>
        <w:t>’in</w:t>
      </w:r>
      <w:proofErr w:type="spellEnd"/>
      <w:r>
        <w:t xml:space="preserve"> tanımını aktaracak olursak</w:t>
      </w:r>
      <w:r w:rsidRPr="009E0FFA">
        <w:t xml:space="preserve"> hukuksuzluk devleti</w:t>
      </w:r>
      <w:r>
        <w:t xml:space="preserve">, </w:t>
      </w:r>
      <w:r w:rsidRPr="009E0FFA">
        <w:t xml:space="preserve">"huzursuzluk çıkaranları kollamaya çalışan, hak sahiplerini tehdit eden, adaletsiz </w:t>
      </w:r>
      <w:proofErr w:type="spellStart"/>
      <w:r w:rsidRPr="009E0FFA">
        <w:t>devlet"</w:t>
      </w:r>
      <w:r>
        <w:t>tir</w:t>
      </w:r>
      <w:proofErr w:type="spellEnd"/>
      <w:r w:rsidRPr="009E0FFA">
        <w:t xml:space="preserve">. </w:t>
      </w:r>
    </w:p>
    <w:p w14:paraId="66E623D3" w14:textId="77294ED9" w:rsidR="00E5125F" w:rsidRDefault="00B01099" w:rsidP="00B01099">
      <w:pPr>
        <w:jc w:val="both"/>
      </w:pPr>
      <w:r w:rsidRPr="009E0FFA">
        <w:t>Almanya'da II. Dünya Savaşı</w:t>
      </w:r>
      <w:r>
        <w:t>’</w:t>
      </w:r>
      <w:r w:rsidRPr="009E0FFA">
        <w:t xml:space="preserve">ndan sonra </w:t>
      </w:r>
      <w:r>
        <w:t>yaygınlaşan</w:t>
      </w:r>
      <w:r w:rsidRPr="009E0FFA">
        <w:t xml:space="preserve"> bu kavram, Naziler iş başına gelmeden önce Adalet Bakanlığı da yapmış olan ve Nazizm'den sonraki süreçte yeniden görev üstlenen </w:t>
      </w:r>
      <w:proofErr w:type="spellStart"/>
      <w:r w:rsidRPr="009E0FFA">
        <w:t>Gustav</w:t>
      </w:r>
      <w:proofErr w:type="spellEnd"/>
      <w:r w:rsidRPr="009E0FFA">
        <w:t xml:space="preserve"> </w:t>
      </w:r>
      <w:proofErr w:type="spellStart"/>
      <w:r w:rsidRPr="009E0FFA">
        <w:t>Radbruch</w:t>
      </w:r>
      <w:proofErr w:type="spellEnd"/>
      <w:r w:rsidRPr="009E0FFA">
        <w:t xml:space="preserve"> tarafından da epey işlenmiştir. </w:t>
      </w:r>
      <w:proofErr w:type="spellStart"/>
      <w:r w:rsidRPr="009E0FFA">
        <w:t>Radbruch'a</w:t>
      </w:r>
      <w:proofErr w:type="spellEnd"/>
      <w:r w:rsidRPr="009E0FFA">
        <w:t xml:space="preserve"> göre 1930'ların sonunda ve 1940'ların başında Almanya'daki hukuka aykırılıklar o kadar ileri düzeye ulaşmıştır ki artık olan biteni </w:t>
      </w:r>
      <w:r>
        <w:t>“</w:t>
      </w:r>
      <w:r w:rsidRPr="009E0FFA">
        <w:t>aykırılık</w:t>
      </w:r>
      <w:r>
        <w:t>”</w:t>
      </w:r>
      <w:r w:rsidRPr="009E0FFA">
        <w:t xml:space="preserve"> bağlamında da olsa </w:t>
      </w:r>
      <w:r>
        <w:t>“</w:t>
      </w:r>
      <w:r w:rsidRPr="009E0FFA">
        <w:t>hukuk</w:t>
      </w:r>
      <w:r>
        <w:t>”</w:t>
      </w:r>
      <w:r w:rsidRPr="009E0FFA">
        <w:t xml:space="preserve"> kavramının denk düştüğü sınırlar içinde anlatabilmek mümkün değildir. </w:t>
      </w:r>
      <w:r w:rsidR="00E5125F">
        <w:t>Yani t</w:t>
      </w:r>
      <w:r w:rsidRPr="009E0FFA">
        <w:t>am bir örgütlü hukuk düşmanlığı söz konus</w:t>
      </w:r>
      <w:r w:rsidR="00E5125F">
        <w:t>udur</w:t>
      </w:r>
      <w:r w:rsidRPr="009E0FFA">
        <w:t xml:space="preserve">. </w:t>
      </w:r>
    </w:p>
    <w:p w14:paraId="5C212F6F" w14:textId="5DA03A36" w:rsidR="00B01099" w:rsidRDefault="00B01099" w:rsidP="00B01099">
      <w:pPr>
        <w:jc w:val="both"/>
      </w:pPr>
      <w:r w:rsidRPr="009E0FFA">
        <w:t xml:space="preserve">Bu dönemde "hukuksuzluk devleti" konulu literatür derinleşmiş, hatta yargısal süreçlerde de kullanılır olmuştur. Bu dönemi ele alan kamu hukukçularından David </w:t>
      </w:r>
      <w:proofErr w:type="spellStart"/>
      <w:r w:rsidRPr="009E0FFA">
        <w:t>Johst</w:t>
      </w:r>
      <w:proofErr w:type="spellEnd"/>
      <w:r w:rsidRPr="009E0FFA">
        <w:t xml:space="preserve">, tanımı şöyle güncellemiştir: </w:t>
      </w:r>
    </w:p>
    <w:p w14:paraId="0025A39F" w14:textId="77777777" w:rsidR="00B01099" w:rsidRDefault="00B01099" w:rsidP="00B01099">
      <w:pPr>
        <w:ind w:left="708"/>
        <w:jc w:val="both"/>
      </w:pPr>
      <w:r>
        <w:t>“</w:t>
      </w:r>
      <w:r w:rsidRPr="009E0FFA">
        <w:t>Hukuksuzluk devleti, yönetim faaliyetlerinde hukuksuzluğa hoşgörü gösteren fakat bunun ötesinde siyasi hedeflerine ulaşmak için insan haklarını kasten göz ardı eden veya buna temel oluşturan devlet</w:t>
      </w:r>
      <w:r>
        <w:t>.”</w:t>
      </w:r>
    </w:p>
    <w:p w14:paraId="3F02CCA0" w14:textId="77777777" w:rsidR="00B01099" w:rsidRDefault="00B01099" w:rsidP="00B01099">
      <w:pPr>
        <w:jc w:val="both"/>
      </w:pPr>
      <w:r>
        <w:t xml:space="preserve">Bu türden </w:t>
      </w:r>
      <w:r w:rsidRPr="009E0FFA">
        <w:t xml:space="preserve">bir yönetimde, adalet ve hakkaniyet kavramlarına içkin anlamıyla hukuk, sadece ayak bağı olarak görülmekle kalmaz, </w:t>
      </w:r>
      <w:r>
        <w:t>politik</w:t>
      </w:r>
      <w:r w:rsidRPr="009E0FFA">
        <w:t xml:space="preserve"> ve ekonomik </w:t>
      </w:r>
      <w:r>
        <w:t>hedeflere</w:t>
      </w:r>
      <w:r w:rsidRPr="009E0FFA">
        <w:t xml:space="preserve"> engel olduğu denli düşman </w:t>
      </w:r>
      <w:r>
        <w:t>sayılır</w:t>
      </w:r>
      <w:r w:rsidRPr="009E0FFA">
        <w:t xml:space="preserve"> hatta ona karşı yıkıcı bir tutuma girişilir. Bu yapılırken </w:t>
      </w:r>
      <w:r>
        <w:t>“kanunlar”</w:t>
      </w:r>
      <w:r w:rsidRPr="009E0FFA">
        <w:t xml:space="preserve"> ve diğer </w:t>
      </w:r>
      <w:r>
        <w:t>hukuksal</w:t>
      </w:r>
      <w:r w:rsidRPr="009E0FFA">
        <w:t xml:space="preserve"> araçlar, </w:t>
      </w:r>
      <w:r>
        <w:t>gerektiğinde</w:t>
      </w:r>
      <w:r w:rsidRPr="009E0FFA">
        <w:t xml:space="preserve"> ters yüz edilir ve hukuk karşıtlığının aracına dönüştürülür. Hatta hukuksuzluk devletinde, bir bakıma </w:t>
      </w:r>
      <w:r>
        <w:t>“</w:t>
      </w:r>
      <w:r w:rsidRPr="009E0FFA">
        <w:t>hukuk karşıtlığı</w:t>
      </w:r>
      <w:r>
        <w:t xml:space="preserve">” </w:t>
      </w:r>
      <w:r w:rsidRPr="009E0FFA">
        <w:t>iktidardadır. Böyle bir durumda her reform</w:t>
      </w:r>
      <w:r>
        <w:t xml:space="preserve">, hangi biçime bürünürse bürünsün ve hangi söylemin arkasın saklanırsa saklansın, özünde </w:t>
      </w:r>
      <w:r w:rsidRPr="009E0FFA">
        <w:t>adaletin değil, iktidarın bekası içindir.</w:t>
      </w:r>
    </w:p>
    <w:p w14:paraId="61571D6D" w14:textId="12F9EE9D" w:rsidR="001E7C09" w:rsidRDefault="000A4362" w:rsidP="001E7C09">
      <w:pPr>
        <w:pStyle w:val="Heading2"/>
      </w:pPr>
      <w:bookmarkStart w:id="6" w:name="_Toc82898685"/>
      <w:r>
        <w:t>4</w:t>
      </w:r>
      <w:r w:rsidR="001E7C09">
        <w:t xml:space="preserve">. Ara </w:t>
      </w:r>
      <w:r w:rsidR="00955367">
        <w:t>Değerlendirme</w:t>
      </w:r>
      <w:bookmarkEnd w:id="6"/>
    </w:p>
    <w:p w14:paraId="2AC16D2A" w14:textId="06C2DE7C" w:rsidR="00B01099" w:rsidRDefault="00B01099" w:rsidP="00B01099">
      <w:pPr>
        <w:jc w:val="both"/>
      </w:pPr>
      <w:r>
        <w:t xml:space="preserve">Şu hâlde şöyle toparlayabiliriz. </w:t>
      </w:r>
      <w:r w:rsidR="00375BB1">
        <w:t>Dönüşümlerin ani gerçekleşmediği pek çok durumda a</w:t>
      </w:r>
      <w:r>
        <w:t>nayasal zorlama</w:t>
      </w:r>
      <w:r w:rsidR="00375BB1">
        <w:t>yla başlayan süreçler, kişisel iktidarın form</w:t>
      </w:r>
      <w:r w:rsidR="00B81D67">
        <w:t>el</w:t>
      </w:r>
      <w:r w:rsidR="00375BB1">
        <w:t xml:space="preserve"> becerilerine bağlı olarak yaygınlık kazandığında </w:t>
      </w:r>
      <w:r w:rsidR="00287469">
        <w:t xml:space="preserve">ve toplumun örgütlü kesimi uyuşukluk gösterdiğinde </w:t>
      </w:r>
      <w:r>
        <w:t xml:space="preserve">anayasal yozlaşma </w:t>
      </w:r>
      <w:r w:rsidR="00375BB1">
        <w:t xml:space="preserve">ve </w:t>
      </w:r>
      <w:r>
        <w:t>anayasal çürüme</w:t>
      </w:r>
      <w:r w:rsidR="00287469">
        <w:t>ye neden olur</w:t>
      </w:r>
      <w:r w:rsidR="00955367">
        <w:t xml:space="preserve">. </w:t>
      </w:r>
      <w:r w:rsidR="00287469">
        <w:t>Süreç uzadıkça b</w:t>
      </w:r>
      <w:r w:rsidR="00375BB1">
        <w:t>u yolun sonu</w:t>
      </w:r>
      <w:r>
        <w:t xml:space="preserve"> </w:t>
      </w:r>
      <w:r w:rsidR="00287469">
        <w:t xml:space="preserve">ise </w:t>
      </w:r>
      <w:r>
        <w:t>anayasa krizi</w:t>
      </w:r>
      <w:r w:rsidR="00375BB1">
        <w:t xml:space="preserve">ne </w:t>
      </w:r>
      <w:r w:rsidR="00955367">
        <w:t>çıkar</w:t>
      </w:r>
      <w:r w:rsidR="00375BB1">
        <w:t xml:space="preserve">. </w:t>
      </w:r>
      <w:r w:rsidR="00287469">
        <w:t>Nihayet, an</w:t>
      </w:r>
      <w:r w:rsidR="00375BB1">
        <w:t>ayasa krizinin derinleştiği yerde ise bir</w:t>
      </w:r>
      <w:r>
        <w:t xml:space="preserve"> hukuksuzluk devleti</w:t>
      </w:r>
      <w:r w:rsidR="00955367">
        <w:t xml:space="preserve"> </w:t>
      </w:r>
      <w:r w:rsidR="00287469">
        <w:t>aşamasına geçilir</w:t>
      </w:r>
      <w:r w:rsidR="00375BB1">
        <w:t>.</w:t>
      </w:r>
    </w:p>
    <w:p w14:paraId="4599AE10" w14:textId="55341861" w:rsidR="00E5125F" w:rsidRDefault="00955367" w:rsidP="00B01099">
      <w:pPr>
        <w:jc w:val="both"/>
      </w:pPr>
      <w:r>
        <w:t xml:space="preserve">Bu süreci içindeyken kavrayabilmek, geniş kesimlerce hatta ilerici çevrelerce bile kolay olmayabilir. Zira bağlamsal ve spesifik kesitlere göre sorun </w:t>
      </w:r>
      <w:r w:rsidR="00E5125F">
        <w:t xml:space="preserve">sayılmayacak </w:t>
      </w:r>
      <w:r w:rsidR="00287469">
        <w:t>münferit</w:t>
      </w:r>
      <w:r w:rsidR="00E5125F">
        <w:t xml:space="preserve"> anayasaya aykırılıkların veya formel olarak</w:t>
      </w:r>
      <w:r>
        <w:t xml:space="preserve"> Anayasa’ya aykırı</w:t>
      </w:r>
      <w:r w:rsidR="00E5125F">
        <w:t xml:space="preserve"> sayılmayacak durumların yarattığı aşınma, koşullar olgunlaştığında </w:t>
      </w:r>
      <w:r>
        <w:t>bir bütün olarak Anayasa’yı çökertebilmekte</w:t>
      </w:r>
      <w:r w:rsidR="00287469">
        <w:t>, en azından onun koşullarını sağlamaktadır.</w:t>
      </w:r>
      <w:r>
        <w:t xml:space="preserve"> </w:t>
      </w:r>
    </w:p>
    <w:p w14:paraId="46AA40D0" w14:textId="7CDDF410" w:rsidR="00955367" w:rsidRDefault="00955367" w:rsidP="00B01099">
      <w:pPr>
        <w:jc w:val="both"/>
      </w:pPr>
      <w:r>
        <w:t xml:space="preserve">Yani durum, </w:t>
      </w:r>
      <w:r w:rsidR="00287469">
        <w:t>bir bakıma “</w:t>
      </w:r>
      <w:r>
        <w:t>kaynayan kurbağa</w:t>
      </w:r>
      <w:r w:rsidR="00287469">
        <w:t>”</w:t>
      </w:r>
      <w:r>
        <w:t xml:space="preserve"> </w:t>
      </w:r>
      <w:r w:rsidR="00287469">
        <w:t>anekdotundaki gibidir</w:t>
      </w:r>
      <w:r>
        <w:t>: K</w:t>
      </w:r>
      <w:r w:rsidRPr="00955367">
        <w:t xml:space="preserve">urbağayı kaynayan suya </w:t>
      </w:r>
      <w:r>
        <w:t xml:space="preserve">attıklarında </w:t>
      </w:r>
      <w:r w:rsidRPr="00955367">
        <w:t xml:space="preserve">ve kurbağa </w:t>
      </w:r>
      <w:r>
        <w:t>aniden</w:t>
      </w:r>
      <w:r w:rsidRPr="00955367">
        <w:t xml:space="preserve"> kaptan dışarı zıplar. </w:t>
      </w:r>
      <w:r>
        <w:t>Fakat aynı</w:t>
      </w:r>
      <w:r w:rsidRPr="00955367">
        <w:t xml:space="preserve"> kurbağayı bir defa da soğuk suya </w:t>
      </w:r>
      <w:r>
        <w:t>koyup</w:t>
      </w:r>
      <w:r w:rsidRPr="00955367">
        <w:t xml:space="preserve"> suyu yavaşça </w:t>
      </w:r>
      <w:r>
        <w:t xml:space="preserve">ısıttıklarında, </w:t>
      </w:r>
      <w:r w:rsidRPr="00955367">
        <w:t xml:space="preserve">kurbağa ısınmayı </w:t>
      </w:r>
      <w:r>
        <w:t>kavrayıp</w:t>
      </w:r>
      <w:r w:rsidRPr="00955367">
        <w:t xml:space="preserve"> </w:t>
      </w:r>
      <w:r>
        <w:t>ka</w:t>
      </w:r>
      <w:r w:rsidR="0037142B">
        <w:t>ç</w:t>
      </w:r>
      <w:r>
        <w:t>amaz. S</w:t>
      </w:r>
      <w:r w:rsidRPr="00955367">
        <w:t xml:space="preserve">u kaynamaya </w:t>
      </w:r>
      <w:r w:rsidRPr="00955367">
        <w:lastRenderedPageBreak/>
        <w:t xml:space="preserve">başladığında </w:t>
      </w:r>
      <w:r>
        <w:t>ise artık</w:t>
      </w:r>
      <w:r w:rsidRPr="00955367">
        <w:t xml:space="preserve"> </w:t>
      </w:r>
      <w:r w:rsidR="004200EA">
        <w:t xml:space="preserve">“kriz” yaşanmaktadır ve kurbağa </w:t>
      </w:r>
      <w:r w:rsidRPr="00955367">
        <w:t>kaçacak mecal bulamaz.</w:t>
      </w:r>
      <w:r>
        <w:t xml:space="preserve"> Kaynamanın sürmesi durumunda ise artık kurbağa hayatta değildir</w:t>
      </w:r>
      <w:r w:rsidR="004200EA">
        <w:t>, yaşam “çökmüştür.”</w:t>
      </w:r>
      <w:r>
        <w:t xml:space="preserve"> </w:t>
      </w:r>
    </w:p>
    <w:p w14:paraId="6A35A2C9" w14:textId="77777777" w:rsidR="005B4104" w:rsidRDefault="005B4104" w:rsidP="005B4104">
      <w:pPr>
        <w:jc w:val="center"/>
        <w:rPr>
          <w:b/>
          <w:bCs/>
        </w:rPr>
      </w:pPr>
      <w:r>
        <w:rPr>
          <w:b/>
          <w:bCs/>
        </w:rPr>
        <w:t>***</w:t>
      </w:r>
    </w:p>
    <w:p w14:paraId="78FB5E58" w14:textId="411EE3BD" w:rsidR="00723C0E" w:rsidRDefault="00723C0E" w:rsidP="00723C0E">
      <w:pPr>
        <w:jc w:val="both"/>
      </w:pPr>
      <w:r>
        <w:t>Anayasal çürüme parametreleriyle bakarsak; öncelikle tam bir güven kaybı sarmalında olduğumuz açık</w:t>
      </w:r>
      <w:r w:rsidR="00E5125F">
        <w:t>tır</w:t>
      </w:r>
      <w:r>
        <w:t xml:space="preserve">. Türk Silahlı Kuvvetlerine </w:t>
      </w:r>
      <w:r w:rsidR="008424EA">
        <w:t xml:space="preserve">(TSK) </w:t>
      </w:r>
      <w:r>
        <w:t xml:space="preserve">dönük Türkiye’ye özgü koşullardan kaynaklanan </w:t>
      </w:r>
      <w:r w:rsidR="00287469">
        <w:t>durumu göz ardı edildiğinde</w:t>
      </w:r>
      <w:r>
        <w:t xml:space="preserve"> nüfusun yarısından fazlasının güvenini alan hiçbir kurum bulunmamaktadır.</w:t>
      </w:r>
      <w:r>
        <w:rPr>
          <w:rStyle w:val="FootnoteReference"/>
        </w:rPr>
        <w:footnoteReference w:id="18"/>
      </w:r>
      <w:r>
        <w:t xml:space="preserve"> Anayasa Mahkemesi de dahil olmak üzere yargıya güven oldukça düşükken adaletsizlik algısı epey yüksektir. Bu, yurttaşların </w:t>
      </w:r>
      <w:r w:rsidR="00287469">
        <w:t xml:space="preserve">Anayasa’yla, </w:t>
      </w:r>
      <w:r>
        <w:t>anayasal organlarla ve en çok da yargıyla bir bağ kuramadığını göstermektedir.</w:t>
      </w:r>
    </w:p>
    <w:p w14:paraId="5E5F432D" w14:textId="2D825DFF" w:rsidR="00723C0E" w:rsidRDefault="00723C0E" w:rsidP="00723C0E">
      <w:pPr>
        <w:jc w:val="both"/>
      </w:pPr>
      <w:r>
        <w:t>Buna karşılık Türkiye’de siyasi kutuplaşma olduğu konusundaki kanı %50’nin üzerindedir. Hatta nüfusun üçte ikiye yakını adeta “düşman” gördüğü başka bir partinin üyesiyle komşu olma</w:t>
      </w:r>
      <w:r w:rsidR="0037142B">
        <w:t>ya</w:t>
      </w:r>
      <w:r>
        <w:t>, iş yapma</w:t>
      </w:r>
      <w:r w:rsidR="0037142B">
        <w:t>ya</w:t>
      </w:r>
      <w:r>
        <w:t xml:space="preserve">, ailevi ilişkiler kurmaya karşıdır.  Gittikçe büyüyen “yankı odaları”, ortak yurttaşlık bağlarını yıpratmaktadır. Bu bir “toplum sözleşmesi” koşullarının olmadığının </w:t>
      </w:r>
      <w:r w:rsidR="00287469">
        <w:t xml:space="preserve">da </w:t>
      </w:r>
      <w:r>
        <w:t>göstergesidir.</w:t>
      </w:r>
    </w:p>
    <w:p w14:paraId="07A0F87B" w14:textId="4A4EE01B" w:rsidR="00723C0E" w:rsidRDefault="00723C0E" w:rsidP="00723C0E">
      <w:pPr>
        <w:jc w:val="both"/>
      </w:pPr>
      <w:r>
        <w:t xml:space="preserve">Ekonomik eşitsizlik bağlamında da durum oldukça kötüdür. </w:t>
      </w:r>
      <w:r w:rsidRPr="00CC0A42">
        <w:t xml:space="preserve">Gelir ve Yaşam Koşulları Araştırması verilerini yayınlayan </w:t>
      </w:r>
      <w:r>
        <w:t>Türkiye İstatistik</w:t>
      </w:r>
      <w:r w:rsidRPr="00CC0A42">
        <w:t xml:space="preserve"> </w:t>
      </w:r>
      <w:r>
        <w:t xml:space="preserve">Kurumu (TÜİK) verilerine </w:t>
      </w:r>
      <w:r w:rsidRPr="00CC0A42">
        <w:t xml:space="preserve">göre gelir eşitsizliği </w:t>
      </w:r>
      <w:r>
        <w:t>son on bir</w:t>
      </w:r>
      <w:r w:rsidRPr="00CC0A42">
        <w:t xml:space="preserve"> yılın en kötü seviyesinde</w:t>
      </w:r>
      <w:r>
        <w:t xml:space="preserve"> görünmektedir.</w:t>
      </w:r>
      <w:r>
        <w:rPr>
          <w:rStyle w:val="FootnoteReference"/>
        </w:rPr>
        <w:footnoteReference w:id="19"/>
      </w:r>
      <w:r>
        <w:t xml:space="preserve"> </w:t>
      </w:r>
      <w:r w:rsidRPr="00CC0A42">
        <w:t>Ekonomik Kalkınma ve İş</w:t>
      </w:r>
      <w:r w:rsidR="00867257">
        <w:t xml:space="preserve"> B</w:t>
      </w:r>
      <w:r w:rsidRPr="00CC0A42">
        <w:t>irliği Örgütü (OECD) verilerine göre</w:t>
      </w:r>
      <w:r>
        <w:t xml:space="preserve"> de</w:t>
      </w:r>
      <w:r w:rsidRPr="00CC0A42">
        <w:t xml:space="preserve"> Türkiye gelişmekte olan ülkeler arasında Şili ve Meksika’nın ardından </w:t>
      </w:r>
      <w:proofErr w:type="spellStart"/>
      <w:r w:rsidRPr="00CC0A42">
        <w:t>Gini</w:t>
      </w:r>
      <w:proofErr w:type="spellEnd"/>
      <w:r w:rsidRPr="00CC0A42">
        <w:t xml:space="preserve"> katsayısı en kötü olan üçüncü ülke</w:t>
      </w:r>
      <w:r>
        <w:t>dir</w:t>
      </w:r>
      <w:r w:rsidRPr="00CC0A42">
        <w:t>.</w:t>
      </w:r>
      <w:r>
        <w:t xml:space="preserve"> </w:t>
      </w:r>
      <w:r w:rsidRPr="009378D8">
        <w:t>Açlık sınırı, asgari ücretin üzerine çıkmıştır ve asgari ücret</w:t>
      </w:r>
      <w:r>
        <w:t xml:space="preserve"> ve altında bir ücretle çalışan</w:t>
      </w:r>
      <w:r w:rsidRPr="009378D8">
        <w:t xml:space="preserve"> kişi sayısı toplam nüfusun %</w:t>
      </w:r>
      <w:r>
        <w:t>40’a yaklaşmıştır</w:t>
      </w:r>
      <w:r w:rsidRPr="009378D8">
        <w:t>.</w:t>
      </w:r>
      <w:r>
        <w:rPr>
          <w:rStyle w:val="FootnoteReference"/>
        </w:rPr>
        <w:footnoteReference w:id="20"/>
      </w:r>
      <w:r>
        <w:t xml:space="preserve"> Bu durum, olağan koşulların dışına çıkıldığını ve anayasal düzenin dışında arayışların meşrulaşabileceğinin açık göstergesidir.</w:t>
      </w:r>
    </w:p>
    <w:p w14:paraId="45694613" w14:textId="0AA0FE3C" w:rsidR="00723C0E" w:rsidRDefault="00723C0E" w:rsidP="00723C0E">
      <w:pPr>
        <w:jc w:val="both"/>
      </w:pPr>
      <w:r>
        <w:t>Son olarak Türkiye açıkça bir savaş yaşamamışsa da</w:t>
      </w:r>
      <w:r w:rsidR="00287469">
        <w:t xml:space="preserve"> yıllarca toplumun farklı kesimlerini dışlayan, liyakati değil partizanlığı ve cemaatçiliği esas alan patronaj ilişkisi 15 Temmuz 2016’da bir felaketle sonuçlanmıştır. İç politikadaki bu felaketi, dış politikadaki cihatçı açılımların yarattığı felaketler izlemiştir. </w:t>
      </w:r>
      <w:r>
        <w:t>2015 yılının Haziran-Kasım ayları arasındaki ardı ardına gelen terör saldırıları ve birkaç yıl içinde milyonlarca göçmenin ülkeye girişi derin bir sorundur.</w:t>
      </w:r>
      <w:r w:rsidR="00287469">
        <w:rPr>
          <w:rStyle w:val="FootnoteReference"/>
        </w:rPr>
        <w:footnoteReference w:id="21"/>
      </w:r>
      <w:r>
        <w:t xml:space="preserve"> Bu</w:t>
      </w:r>
      <w:r w:rsidR="00287469">
        <w:t xml:space="preserve">nlar ülkenin </w:t>
      </w:r>
      <w:r>
        <w:t xml:space="preserve">siyasal felaket </w:t>
      </w:r>
      <w:r w:rsidR="00287469">
        <w:t xml:space="preserve">içinde olduğunun </w:t>
      </w:r>
      <w:r>
        <w:t>göstergesidir.</w:t>
      </w:r>
    </w:p>
    <w:p w14:paraId="288A445F" w14:textId="7344CB27" w:rsidR="00B32281" w:rsidRDefault="00723C0E" w:rsidP="00723C0E">
      <w:pPr>
        <w:jc w:val="both"/>
      </w:pPr>
      <w:r>
        <w:t xml:space="preserve">Dolayısıyla anayasal çürümeye dönük nesnel koşullar fazlasıyla bulunmaktadır. </w:t>
      </w:r>
      <w:r w:rsidR="00287469">
        <w:t xml:space="preserve">Fakat burada, makarayı geriye sarmak bu süreçleri önceleyen anayasal aşındırmalara değinmek gerekiyor.  </w:t>
      </w:r>
    </w:p>
    <w:p w14:paraId="76E64F6A" w14:textId="12539AF5" w:rsidR="00B32281" w:rsidRDefault="00B32281" w:rsidP="00723C0E">
      <w:pPr>
        <w:jc w:val="both"/>
      </w:pPr>
      <w:r>
        <w:t>Aşınma, bizzat Anayasa’nın sorunlu doğumuna kadar götürülebilir. Anayasa’nın eski Anayasa’yı ihlal eden kişilerce ilan edilmesi ve bunu yaparken de toplumun örgütlü dinamiklerinin büyük bir kısmını dışlaması, Anayasa ile Anayasa’yı sahiplenecek özneler arasında geniş bir açı oluştur</w:t>
      </w:r>
      <w:r w:rsidR="00287469">
        <w:t>muştu</w:t>
      </w:r>
      <w:r>
        <w:t xml:space="preserve">. Bu açı, destekleyici bir hukuk kaynağı olarak öğretide “12 Eylül </w:t>
      </w:r>
      <w:proofErr w:type="spellStart"/>
      <w:r>
        <w:t>Anayasası”na</w:t>
      </w:r>
      <w:proofErr w:type="spellEnd"/>
      <w:r>
        <w:t xml:space="preserve"> karşı süreklileşen tepkisel tutumuyla ve farklı çevrelerden siyasetçilerin sürekli olarak Anayasa’yı (onlarca olumlu değişiklik geçirmesine rağmen) yerip ayak bağı </w:t>
      </w:r>
      <w:r>
        <w:lastRenderedPageBreak/>
        <w:t>olarak nitelemesiyle daha da açıldı.</w:t>
      </w:r>
      <w:r w:rsidR="001D4667">
        <w:rPr>
          <w:rStyle w:val="FootnoteReference"/>
        </w:rPr>
        <w:footnoteReference w:id="22"/>
      </w:r>
      <w:r>
        <w:t xml:space="preserve"> Dolayısıyla Anayasa, büyük kamuoyu rejiminde sahipsiz kaldı. </w:t>
      </w:r>
    </w:p>
    <w:p w14:paraId="76D3B7AD" w14:textId="2DADCCEB" w:rsidR="00AC39E0" w:rsidRDefault="00B32281" w:rsidP="00723C0E">
      <w:pPr>
        <w:jc w:val="both"/>
      </w:pPr>
      <w:r>
        <w:t xml:space="preserve">Hâl böyleyken bu misyon, büyük ölçüde Anayasa Mahkemesine kaldı. Anayasa Mahkemesinin kararlarına karşı üretilen (bilimsel yönden tartışmalı) savlar, Mahkemenin meşruluk temellerini oldukça zayıflattı. Bu bağlamda başlıca çıkış, büyük ölçüde </w:t>
      </w:r>
      <w:proofErr w:type="spellStart"/>
      <w:r>
        <w:t>Hirschl’in</w:t>
      </w:r>
      <w:proofErr w:type="spellEnd"/>
      <w:r>
        <w:t xml:space="preserve"> </w:t>
      </w:r>
      <w:proofErr w:type="spellStart"/>
      <w:r w:rsidRPr="00B32281">
        <w:rPr>
          <w:i/>
          <w:iCs/>
        </w:rPr>
        <w:t>Jüristokrasi</w:t>
      </w:r>
      <w:proofErr w:type="spellEnd"/>
      <w:r>
        <w:t xml:space="preserve"> eserindeki </w:t>
      </w:r>
      <w:r w:rsidR="00203832">
        <w:t>tezlerden</w:t>
      </w:r>
      <w:r>
        <w:t xml:space="preserve"> mülhem bir yaklaşımla, Anayasa Mahkemesinin, Kemalist siyasal elitlerinin çıkarlarını kollayan bir “vesayet organı” olduğuydu. Ampirik olarak doğrulanmayan</w:t>
      </w:r>
      <w:r w:rsidR="00FF28A1">
        <w:rPr>
          <w:rStyle w:val="FootnoteReference"/>
        </w:rPr>
        <w:footnoteReference w:id="23"/>
      </w:r>
      <w:r>
        <w:t xml:space="preserve"> bu söylem, kamuoyunda kabul gördü. Dahası</w:t>
      </w:r>
      <w:r w:rsidR="00FF28A1">
        <w:t xml:space="preserve">, </w:t>
      </w:r>
      <w:r>
        <w:t>resmî makamlardan gelen Mahkeme’nin kararlarına uyulmaması gerektiği yönündeki öneriler</w:t>
      </w:r>
      <w:r w:rsidR="00AC39E0">
        <w:rPr>
          <w:rStyle w:val="FootnoteReference"/>
        </w:rPr>
        <w:footnoteReference w:id="24"/>
      </w:r>
      <w:r>
        <w:t xml:space="preserve"> -karara uyulsa bile- onun etki gücünü yıprattı. Anayasa Mahkemesinin kararlarına uyulamaması olasılığını bilim dışı alanda </w:t>
      </w:r>
      <w:r w:rsidR="00AC39E0">
        <w:t>tedavüle sokup bu olasılığı normalleştirdi. Bu durum akademik alanda</w:t>
      </w:r>
      <w:r w:rsidR="00FF28A1">
        <w:t xml:space="preserve"> (i)</w:t>
      </w:r>
      <w:r w:rsidR="00AC39E0">
        <w:t xml:space="preserve"> ya Mahkeme’nin kapatılması veya bu yönde yargısal strateji önerileriyle</w:t>
      </w:r>
      <w:r w:rsidR="00AC39E0">
        <w:rPr>
          <w:rStyle w:val="FootnoteReference"/>
        </w:rPr>
        <w:footnoteReference w:id="25"/>
      </w:r>
      <w:r w:rsidR="00AC39E0">
        <w:t xml:space="preserve"> ya da </w:t>
      </w:r>
      <w:r w:rsidR="00FF28A1">
        <w:t xml:space="preserve">(ii) </w:t>
      </w:r>
      <w:r w:rsidR="00AC39E0">
        <w:t>Mahkeme</w:t>
      </w:r>
      <w:r w:rsidR="00C05B73">
        <w:t>’</w:t>
      </w:r>
      <w:r w:rsidR="00AC39E0">
        <w:t>nin dar bir formel inceleme organına dönüşmesi yönündeki savlarla pekişti.</w:t>
      </w:r>
      <w:r w:rsidR="00AC39E0" w:rsidRPr="00AC39E0">
        <w:rPr>
          <w:rStyle w:val="FootnoteReference"/>
        </w:rPr>
        <w:t xml:space="preserve"> </w:t>
      </w:r>
      <w:r w:rsidR="00AC39E0">
        <w:t xml:space="preserve">Bütün bu süreçte, kendi varlığını mevcut Anayasa’nın reddiyesi söylemiyle kuran “yeni anayasa” girişimlerinin başarısızlığı, daha iyisini getirmeden eskisinin kamusal meşruluğunun daha da </w:t>
      </w:r>
      <w:r w:rsidR="00287469">
        <w:t>yıpranmasına</w:t>
      </w:r>
      <w:r w:rsidR="00AC39E0">
        <w:t xml:space="preserve"> neden oldu.</w:t>
      </w:r>
      <w:r w:rsidR="005B4104" w:rsidRPr="005B4104">
        <w:t xml:space="preserve"> </w:t>
      </w:r>
      <w:r w:rsidR="005B4104">
        <w:t xml:space="preserve">Dahası anayasa değişikliklerinin gündelik istenç ve kaprislere göre </w:t>
      </w:r>
      <w:proofErr w:type="spellStart"/>
      <w:r w:rsidR="005B4104">
        <w:t>gündemleştirilmesi</w:t>
      </w:r>
      <w:proofErr w:type="spellEnd"/>
      <w:r w:rsidR="005B4104">
        <w:t xml:space="preserve"> ve üstelik de bunların başarılı olması da buna tuz biber oldu.</w:t>
      </w:r>
    </w:p>
    <w:p w14:paraId="6F86EE5B" w14:textId="6ABA3566" w:rsidR="00AC39E0" w:rsidRDefault="00AC39E0" w:rsidP="00723C0E">
      <w:pPr>
        <w:jc w:val="both"/>
      </w:pPr>
      <w:r>
        <w:t>Aslında bu süreç, Aydınlanma hareketinin “</w:t>
      </w:r>
      <w:proofErr w:type="spellStart"/>
      <w:r>
        <w:t>anlatı”larını</w:t>
      </w:r>
      <w:proofErr w:type="spellEnd"/>
      <w:r>
        <w:t xml:space="preserve"> ve onun (Anayasa ve Anayasa Mahkemesi gibi) modern kurumlarını, </w:t>
      </w:r>
      <w:proofErr w:type="spellStart"/>
      <w:r>
        <w:t>postmodern</w:t>
      </w:r>
      <w:proofErr w:type="spellEnd"/>
      <w:r>
        <w:t xml:space="preserve"> (sözde ilerici) söylemleri kullanarak yıpratan, onu yıpratırken bizi </w:t>
      </w:r>
      <w:proofErr w:type="spellStart"/>
      <w:r>
        <w:t>premodern</w:t>
      </w:r>
      <w:proofErr w:type="spellEnd"/>
      <w:r>
        <w:t xml:space="preserve"> (özde gerici) bir yozlaşmanın içine savuran siyasi hareketlerin makro düzeyde yaptığı şeyin (bilinçli veya bilinçsiz) spesifik bir kesitiydi.</w:t>
      </w:r>
    </w:p>
    <w:p w14:paraId="21BA610B" w14:textId="4318E99B" w:rsidR="006E489F" w:rsidRDefault="00FF28A1" w:rsidP="00723C0E">
      <w:pPr>
        <w:jc w:val="both"/>
      </w:pPr>
      <w:r>
        <w:t>Bu süreçte biçimsel olarak Anayasa’ya aykırı görünmeyen ama maddi anlamda Anayasa’nın “ruhunu”</w:t>
      </w:r>
      <w:r w:rsidR="001D4667">
        <w:rPr>
          <w:rStyle w:val="FootnoteReference"/>
        </w:rPr>
        <w:footnoteReference w:id="26"/>
      </w:r>
      <w:r w:rsidR="001D4667">
        <w:t xml:space="preserve"> </w:t>
      </w:r>
      <w:r>
        <w:t xml:space="preserve"> bedeninden söken bazı “anayasal </w:t>
      </w:r>
      <w:proofErr w:type="spellStart"/>
      <w:r>
        <w:t>zorlama”lar</w:t>
      </w:r>
      <w:proofErr w:type="spellEnd"/>
      <w:r w:rsidR="00287469">
        <w:t xml:space="preserve"> da</w:t>
      </w:r>
      <w:r>
        <w:t xml:space="preserve"> gerçekleşti.</w:t>
      </w:r>
      <w:r w:rsidR="001D4667">
        <w:rPr>
          <w:rStyle w:val="FootnoteReference"/>
        </w:rPr>
        <w:footnoteReference w:id="27"/>
      </w:r>
      <w:r w:rsidR="00287469">
        <w:t xml:space="preserve"> </w:t>
      </w:r>
      <w:r w:rsidR="00D4139A">
        <w:t xml:space="preserve">Bu zorlamalar “Anayasa’yı bir kez delmekle bir şey olmaz” diyen </w:t>
      </w:r>
      <w:r w:rsidR="00B21A7C">
        <w:t xml:space="preserve">eski Cumhurbaşkanı </w:t>
      </w:r>
      <w:r w:rsidR="00D4139A">
        <w:t>Turgut Özal</w:t>
      </w:r>
      <w:r w:rsidR="00B21A7C">
        <w:t>’ın</w:t>
      </w:r>
      <w:r w:rsidR="00D4139A">
        <w:t xml:space="preserve"> pratiklerine kadar götürülebilir.</w:t>
      </w:r>
      <w:r w:rsidR="00D4139A">
        <w:rPr>
          <w:rStyle w:val="FootnoteReference"/>
        </w:rPr>
        <w:footnoteReference w:id="28"/>
      </w:r>
      <w:r w:rsidR="00D4139A">
        <w:t xml:space="preserve"> Fakat ç</w:t>
      </w:r>
      <w:r w:rsidR="006E489F">
        <w:t>ok geriye gitmeden, yakın zaman önceki bazı dikkat çekici örnekleri hatırlayalım</w:t>
      </w:r>
      <w:r w:rsidR="00D4139A">
        <w:t>.</w:t>
      </w:r>
    </w:p>
    <w:p w14:paraId="0D8347C4" w14:textId="7F9B208B" w:rsidR="00B21A7C" w:rsidRDefault="00B21A7C" w:rsidP="00B21A7C">
      <w:pPr>
        <w:jc w:val="both"/>
      </w:pPr>
      <w:r>
        <w:t>Bu konudaki süreğen sorun Anayasa Mahkemesinin “ihmal yoluyla anayasaya aykırılık” kararı vermemesinden ötürü Anayasa’ya aykır</w:t>
      </w:r>
      <w:r w:rsidR="00C05B73">
        <w:t>ı</w:t>
      </w:r>
      <w:r>
        <w:t xml:space="preserve">lık belirlemesi yapılamayan kategoridir. Bu kategori, özellikle </w:t>
      </w:r>
      <w:r w:rsidR="00D4139A">
        <w:t xml:space="preserve">1990’lı yıllardan itibaren </w:t>
      </w:r>
      <w:r>
        <w:t>OHAL</w:t>
      </w:r>
      <w:r w:rsidR="00D4139A">
        <w:t xml:space="preserve"> KHK’leri</w:t>
      </w:r>
      <w:r>
        <w:t>nin</w:t>
      </w:r>
      <w:r w:rsidR="00D4139A">
        <w:t xml:space="preserve"> süratle kanunlaştırılmaması</w:t>
      </w:r>
      <w:r>
        <w:t xml:space="preserve"> ve dolayısıyla denetlenememesiyle ilgilidir. Benzer durum, </w:t>
      </w:r>
      <w:r w:rsidR="00D4139A">
        <w:t>Anayasa değişikliklerinin gerektirdiği kanunların çıkarılmamas</w:t>
      </w:r>
      <w:r>
        <w:t>ıyla da ilgili olarak tezahür etmektedir. Bu, özellikle 2016’dan sonra çıkarılan OHAL KHK’lerinin denetlenmeyerek “anayasa hükmünde kararname” hâline getirilmesine dolayısıyla “</w:t>
      </w:r>
      <w:proofErr w:type="spellStart"/>
      <w:r>
        <w:t>anayasa”nın</w:t>
      </w:r>
      <w:proofErr w:type="spellEnd"/>
      <w:r>
        <w:t xml:space="preserve"> ve mahkemesinin toplumsal meşruluğunun zayıflamasına neden olmuştur. Benzer durum, OHAL ilanının ve uzatma kararlarının veya sınır </w:t>
      </w:r>
      <w:r>
        <w:lastRenderedPageBreak/>
        <w:t xml:space="preserve">ötesi operasyon tezkerelerinin veya bu operasyonlarda TBMM’nin bilgisiz bırakılmasının denetlenememesine kadar genişletilebilir. </w:t>
      </w:r>
      <w:r w:rsidR="005B4104">
        <w:t>Bu denetimsizlik tarafsız olması beklenen Cumhurbaşkanının, taraflı davranması karşısında yargısal bir yolun bulunmaması, ardından da Anayasa’nın fiili duruma uyarlanmak istenmesiyle de baş göstermiştir.</w:t>
      </w:r>
      <w:r w:rsidR="005B4104">
        <w:rPr>
          <w:rStyle w:val="FootnoteReference"/>
        </w:rPr>
        <w:footnoteReference w:id="29"/>
      </w:r>
    </w:p>
    <w:p w14:paraId="0CCBC676" w14:textId="56B376E7" w:rsidR="00627806" w:rsidRDefault="00B21A7C" w:rsidP="00627806">
      <w:pPr>
        <w:jc w:val="both"/>
      </w:pPr>
      <w:r>
        <w:t xml:space="preserve">Bu örneklerde durum formel olarak haklı çıkarılabilir fakat maddi olarak Anayasa’yı derinden zedelemiştir. Kamuoyuna yansıyan örneklerden devam edersek; 2013’te </w:t>
      </w:r>
      <w:r w:rsidR="00D4139A">
        <w:t xml:space="preserve">haklarında çok ağır suçlamalar bulunan </w:t>
      </w:r>
      <w:r w:rsidR="00627806">
        <w:t xml:space="preserve">(hatta bugün bir tanesinin aklanma için yargılama istediği) </w:t>
      </w:r>
      <w:r w:rsidR="00D4139A">
        <w:t>bakanların yargılanmaması</w:t>
      </w:r>
      <w:r>
        <w:t>nın</w:t>
      </w:r>
      <w:r w:rsidR="00627806">
        <w:t xml:space="preserve">, Anayasa’nın bazı siyasi özneler karşısında etkisiz kaldığı görüntüsünü oluşturduğunu kaydetmek gerekir. Anılan süreçte gerçekleştirilen (Haziran 2015) </w:t>
      </w:r>
      <w:r w:rsidR="006E489F">
        <w:t xml:space="preserve">milletvekili </w:t>
      </w:r>
      <w:r w:rsidR="00FF28A1">
        <w:t>seçimlerinden sonra Cumhurbaşkanı’nın</w:t>
      </w:r>
      <w:r w:rsidR="006E489F">
        <w:t xml:space="preserve">, </w:t>
      </w:r>
      <w:r w:rsidR="00FF28A1">
        <w:t xml:space="preserve">CHP Genel Başkanı Kemal </w:t>
      </w:r>
      <w:proofErr w:type="spellStart"/>
      <w:r w:rsidR="00FF28A1">
        <w:t>Kılıçdaroğlu’na</w:t>
      </w:r>
      <w:proofErr w:type="spellEnd"/>
      <w:r w:rsidR="00FF28A1">
        <w:t xml:space="preserve"> </w:t>
      </w:r>
      <w:r w:rsidR="006E489F">
        <w:t xml:space="preserve">hükûmeti kurma görevini </w:t>
      </w:r>
      <w:r w:rsidR="00D4139A">
        <w:t>vermemesi</w:t>
      </w:r>
      <w:r>
        <w:t xml:space="preserve"> </w:t>
      </w:r>
      <w:r w:rsidR="00627806">
        <w:t xml:space="preserve">örneği de kayda değerdir. Bu örnek, </w:t>
      </w:r>
      <w:proofErr w:type="spellStart"/>
      <w:r w:rsidR="00627806">
        <w:t>Tushnet’in</w:t>
      </w:r>
      <w:proofErr w:type="spellEnd"/>
      <w:r w:rsidR="00627806">
        <w:t xml:space="preserve"> “anayasal zorlama” belirlemesini birebir karşılamaktadır. Anayasal uygulama, Cumhurbaşkanı’nın yasama organının çoğunluğuyla bir koalisyon kurma olasılığı olanağı bulunan ana muhalefet liderini hükûmet kurmakla görevlendirmesini gerektirse de bu konuda kural yoktur. Bu kural boşluğu istismar edilmiştir. Fakat istismar her zaman için muhalefet</w:t>
      </w:r>
      <w:r w:rsidR="002511C1">
        <w:t>e</w:t>
      </w:r>
      <w:r w:rsidR="00627806">
        <w:t xml:space="preserve"> </w:t>
      </w:r>
      <w:r w:rsidR="002511C1">
        <w:t>rağmen</w:t>
      </w:r>
      <w:r w:rsidR="00627806">
        <w:t xml:space="preserve"> olmamıştır. Örneğin 2016 yılında CHP’nin “Anayasa’ya aykırı ama destekleyeceğiz” diyerek parçası olduğu, </w:t>
      </w:r>
      <w:r w:rsidR="006E489F">
        <w:t>yasama bağışıklığı</w:t>
      </w:r>
      <w:r w:rsidR="00627806">
        <w:t xml:space="preserve"> güvencelerinin </w:t>
      </w:r>
      <w:r w:rsidR="00D4139A">
        <w:t xml:space="preserve">içini boşaltan </w:t>
      </w:r>
      <w:r w:rsidR="006E489F">
        <w:t>geçici 20’nci madde</w:t>
      </w:r>
      <w:r w:rsidR="00627806">
        <w:t xml:space="preserve"> bunu doğrulamaktadır.</w:t>
      </w:r>
    </w:p>
    <w:p w14:paraId="10BE8B86" w14:textId="256E8484" w:rsidR="00723C0E" w:rsidRDefault="00627806" w:rsidP="00B01099">
      <w:pPr>
        <w:jc w:val="both"/>
      </w:pPr>
      <w:r>
        <w:t xml:space="preserve">Böylesi durumlarda mesele biraz da siyasal etik meselesi olmaktadır. Konu etiğe kaldığında da Anayasa, çoğu kez daha çaresizdir. Örneğin pek çok hükmün kamusal tartışmadan kaçırılmak amacıyla “torba kanunlara” sokulması veya kamuoyunca makul karşılanmayacak kimi atamalar, anayasal düzende etik açıdan haklı çıkarılamayacaksa da yapılabilecekler sınırlı kalmaktadır. Nitekim </w:t>
      </w:r>
      <w:r w:rsidR="005B4104">
        <w:t>üç farklı AYM üyesinin atanma süreçleriyle ilgili çok sayıda etik tartışma yapılmışsa da bu atamalara karşı denetim yapılması güçtür. Burada konunun ne denli yargısal olacağı kuşkulu kalmıştır. Benzer sorun, mahkeme üyeliğinden emekli olan üyelerin emeklilik yıllarında yürütme bünyesindeki kimi önemli makamlara atanmalarıyla ilgili olmaktadır. Kamuoyunun benimsemediği en azından bir kısmının oldukça tartışmalı gördüğü bu süreçlerin Anayasa’ya aykırı olduğu formel olarak söylenemese bile bunların Anayasa’yı yıprattığını kabul etmek gerekmez mi?</w:t>
      </w:r>
    </w:p>
    <w:p w14:paraId="1BDE901A" w14:textId="62E53485" w:rsidR="005B4104" w:rsidRDefault="005B4104" w:rsidP="00B01099">
      <w:pPr>
        <w:jc w:val="both"/>
      </w:pPr>
      <w:r>
        <w:t xml:space="preserve">Yanıtı belli olan bu soruyu başka bir soruyla ilerletelim: Acaba anayasal çürüme, anayasal kriz düzeyine ulaşmış bulunuyor mu? </w:t>
      </w:r>
      <w:proofErr w:type="spellStart"/>
      <w:r>
        <w:t>Balkin’in</w:t>
      </w:r>
      <w:proofErr w:type="spellEnd"/>
      <w:r>
        <w:t xml:space="preserve"> parametrelerine bakacak olursak bu noktada krizin </w:t>
      </w:r>
      <w:r w:rsidR="009D730E">
        <w:t xml:space="preserve">iki bağlamda öne çıktığını söyleyebiliriz. Bunlardan ilki 15 Temmuz gecesi </w:t>
      </w:r>
      <w:r w:rsidR="008424EA">
        <w:t>TSK’den</w:t>
      </w:r>
      <w:r w:rsidR="009D730E">
        <w:t xml:space="preserve"> bazı askerlerin Anayasa’yı askıya alma girişimi ve bu girişimden sonra yaşananlardır. Girişim, açıkça bir </w:t>
      </w:r>
      <w:proofErr w:type="spellStart"/>
      <w:r w:rsidR="009D730E">
        <w:t>anayasasızlaştırma</w:t>
      </w:r>
      <w:proofErr w:type="spellEnd"/>
      <w:r w:rsidR="009D730E">
        <w:t xml:space="preserve"> kalkışmasıdır. Fakat bu kalkışmaya karşı ilan edilen OHAL sürecindeki denetimsizlik ve “anay</w:t>
      </w:r>
      <w:r w:rsidR="0037142B">
        <w:t>a</w:t>
      </w:r>
      <w:r w:rsidR="009D730E">
        <w:t>sa hükmünde kararname rejimi”, bir Cumhurbaşkanı’nın dilediği an OHAL ilan edip dilediği konuda kural koyup uygulatabileceği bir alanın olduğunu göstermiştir. Bu durum bir başkanın, Anayasa’nın bağlayıcı olmadığını düşündüğünde pekâlâ “Anayasa’ya itaat zorunluğu olmadığı” kabulünü beraberinde getirmiştir. Dahası, bu süreçlerdeki kimi eylem ve işlemlerden ötürü “h</w:t>
      </w:r>
      <w:r w:rsidR="009D730E" w:rsidRPr="009D730E">
        <w:t xml:space="preserve">ukuki, idari, mali ve cezai </w:t>
      </w:r>
      <w:r w:rsidR="009D730E">
        <w:t>sorumluluk”</w:t>
      </w:r>
      <w:r w:rsidR="009D730E" w:rsidRPr="009D730E">
        <w:t xml:space="preserve"> </w:t>
      </w:r>
      <w:r w:rsidR="009D730E">
        <w:t>doğmayacağına ilişkin hüküm ve bu hükmün Anayasa’ya uygun sayılması</w:t>
      </w:r>
      <w:r w:rsidR="009D730E">
        <w:rPr>
          <w:rStyle w:val="FootnoteReference"/>
        </w:rPr>
        <w:footnoteReference w:id="30"/>
      </w:r>
      <w:r w:rsidR="009D730E">
        <w:t xml:space="preserve"> de yoruma bağlı olarak bir tür “istisna anayasa” yaratmış veya Anayasa’yı bağlamsal olarak itaati zorunlu olmayan bir norma dönüştürmüş gibidir.</w:t>
      </w:r>
      <w:r w:rsidR="009D730E">
        <w:rPr>
          <w:rStyle w:val="FootnoteReference"/>
        </w:rPr>
        <w:footnoteReference w:id="31"/>
      </w:r>
      <w:r w:rsidR="009D730E">
        <w:t xml:space="preserve">  </w:t>
      </w:r>
    </w:p>
    <w:p w14:paraId="523FDA4F" w14:textId="5CD632D8" w:rsidR="006855C6" w:rsidRDefault="009D730E" w:rsidP="00B01099">
      <w:pPr>
        <w:jc w:val="both"/>
      </w:pPr>
      <w:r>
        <w:lastRenderedPageBreak/>
        <w:t>İkinci önemli bağlam ise Anayasa Mahkemesi kararların</w:t>
      </w:r>
      <w:r w:rsidR="006855C6">
        <w:t>a (dolayısıyla Anayasa hükmüne) direnilebileceğine dönük söylem ve bu söylemin siyasal destekle uygulanması pratiğidir.</w:t>
      </w:r>
      <w:r w:rsidR="006855C6">
        <w:rPr>
          <w:rStyle w:val="FootnoteReference"/>
        </w:rPr>
        <w:footnoteReference w:id="32"/>
      </w:r>
      <w:r w:rsidR="006855C6">
        <w:t xml:space="preserve"> Bu, bazı siyasilerin veya ona koşut olarak mahkemelerin Anayasa hükümlerine itaat etmeyebileceğini göstermiştir. Dolayısıyla bu durum da Türkiye’nin açıkça bir anayasa krizi içinde olduğunu gösterir gibidir.</w:t>
      </w:r>
      <w:r w:rsidR="006855C6">
        <w:rPr>
          <w:rStyle w:val="FootnoteReference"/>
        </w:rPr>
        <w:footnoteReference w:id="33"/>
      </w:r>
    </w:p>
    <w:p w14:paraId="5762ADA7" w14:textId="2CA53D41" w:rsidR="009D730E" w:rsidRDefault="006855C6" w:rsidP="00B01099">
      <w:pPr>
        <w:jc w:val="both"/>
      </w:pPr>
      <w:r>
        <w:t>Anayasa krizinin bir hukuksuzluk devletine dönmesi ise krizin uzunluğuna ve yıkılanın yerine inşa edilecek olana bağlıdır. Bu bakımdan Türkiye’nin bir hukuksuzluk devleti olup olmadığı, anılan “gibi” kayıtlarının netleştirilmesine ve 2023 seçimlerinin sonuçlarına kadar -şimdilik- askıda tutulabilir.</w:t>
      </w:r>
    </w:p>
    <w:p w14:paraId="3CA7244D" w14:textId="03FF3B98" w:rsidR="000A4362" w:rsidRDefault="000A4362" w:rsidP="00B01099">
      <w:pPr>
        <w:jc w:val="both"/>
      </w:pPr>
      <w:r>
        <w:t xml:space="preserve">Bu belirlemeyi havada bırakmayıp bir çıkarım yapmak anlamlı olur düşüncesindeyim. Anayasa’nın aşınması sadece Anayasa’ya aykırılıklarla değil aynı zamanda anayasal yozlaşma ile de gerçekleşir. Bu yozlaşmaya karşı duracak şey etik alanda olsa da bunun kurumlaşması da bir gerekliliktir. Bu gereklik de bizi bildirinin ikinci kısmına “dördüncü erkler </w:t>
      </w:r>
      <w:proofErr w:type="spellStart"/>
      <w:r>
        <w:t>teorisi”ne</w:t>
      </w:r>
      <w:proofErr w:type="spellEnd"/>
      <w:r>
        <w:t xml:space="preserve"> ulaştırmaktadır.</w:t>
      </w:r>
    </w:p>
    <w:p w14:paraId="6D8CA1E0" w14:textId="0525A7B3" w:rsidR="003552EA" w:rsidRPr="00653DD9" w:rsidRDefault="00D7113C" w:rsidP="00653DD9">
      <w:pPr>
        <w:pStyle w:val="Heading1"/>
      </w:pPr>
      <w:bookmarkStart w:id="7" w:name="_Toc82898686"/>
      <w:r>
        <w:t>I</w:t>
      </w:r>
      <w:r w:rsidR="000A4362">
        <w:t>I</w:t>
      </w:r>
      <w:r w:rsidR="00B07B66" w:rsidRPr="00653DD9">
        <w:t>. Çözüm Arayışı</w:t>
      </w:r>
      <w:r w:rsidR="001E7C09">
        <w:t>: “</w:t>
      </w:r>
      <w:r w:rsidR="00203832">
        <w:t xml:space="preserve">Yeni </w:t>
      </w:r>
      <w:r w:rsidR="001E7C09">
        <w:t>Dördüncü Erkler Teorisi”</w:t>
      </w:r>
      <w:bookmarkEnd w:id="7"/>
    </w:p>
    <w:p w14:paraId="015499B8" w14:textId="6E8E7E99" w:rsidR="00B81D67" w:rsidRDefault="004200EA" w:rsidP="00B07B66">
      <w:r>
        <w:t xml:space="preserve">Şimdi ikinci kısma geçelim. Sorum şudur: </w:t>
      </w:r>
      <w:r w:rsidR="00B81D67">
        <w:t>Acaba anayasanın ayakta kalması ve gerçekten demokratikleşmesi kısa vadede hangi yolla mümkün olabilir?</w:t>
      </w:r>
    </w:p>
    <w:p w14:paraId="4D80AD8C" w14:textId="4EBF6ADA" w:rsidR="00B81D67" w:rsidRDefault="002E0984" w:rsidP="00B07B66">
      <w:r>
        <w:t>Bu</w:t>
      </w:r>
      <w:r w:rsidR="00B81D67">
        <w:t xml:space="preserve"> soruya </w:t>
      </w:r>
      <w:r>
        <w:t xml:space="preserve">yanıt arayışı yeni değil, aksine kadim. </w:t>
      </w:r>
      <w:r w:rsidR="00B81D67">
        <w:t xml:space="preserve">Hatta “Anayasa nasıl korunacak?”  </w:t>
      </w:r>
      <w:proofErr w:type="gramStart"/>
      <w:r w:rsidR="00B81D67">
        <w:t>sorusu</w:t>
      </w:r>
      <w:proofErr w:type="gramEnd"/>
      <w:r w:rsidR="00B81D67">
        <w:t xml:space="preserve"> a</w:t>
      </w:r>
      <w:r w:rsidR="00B07B66">
        <w:t>nayasaların ortaya çıktığı ilk günden itibaren temel bir soru</w:t>
      </w:r>
      <w:r w:rsidR="004200EA">
        <w:t>d</w:t>
      </w:r>
      <w:r w:rsidR="00014242">
        <w:t>ur</w:t>
      </w:r>
      <w:r w:rsidR="004200EA">
        <w:t>.</w:t>
      </w:r>
    </w:p>
    <w:p w14:paraId="0D0604C9" w14:textId="38F0F2C1" w:rsidR="00B07B66" w:rsidRDefault="002E0984" w:rsidP="00B07B66">
      <w:r>
        <w:t>B</w:t>
      </w:r>
      <w:r w:rsidR="00B07B66">
        <w:t>atı dünyasında bu soruya Fransız, İngiliz ve Alman literatüründen gelen katkılar farklı farkl</w:t>
      </w:r>
      <w:r w:rsidR="004200EA">
        <w:t>ıdır.</w:t>
      </w:r>
    </w:p>
    <w:p w14:paraId="3AF25C13" w14:textId="7F38B2DA" w:rsidR="00B07B66" w:rsidRDefault="00B07B66" w:rsidP="00B07B66">
      <w:pPr>
        <w:jc w:val="both"/>
      </w:pPr>
      <w:r>
        <w:t>Antiklerden devralınan cumhuriyetçi mirasın verdiği yanıt, felsefe ağırlıklıdır: Yurttaş erdemi ile! Bu hesaba göre, anayasal değerlerin güvencesi olan medeni erdem veya (</w:t>
      </w:r>
      <w:r w:rsidRPr="009F3C59">
        <w:t xml:space="preserve">Gençliğe </w:t>
      </w:r>
      <w:proofErr w:type="spellStart"/>
      <w:r w:rsidRPr="009F3C59">
        <w:t>Hitabe</w:t>
      </w:r>
      <w:r>
        <w:t>’</w:t>
      </w:r>
      <w:r w:rsidRPr="009F3C59">
        <w:t>nin</w:t>
      </w:r>
      <w:proofErr w:type="spellEnd"/>
      <w:r w:rsidRPr="009F3C59">
        <w:t xml:space="preserve"> ve Bursu </w:t>
      </w:r>
      <w:proofErr w:type="spellStart"/>
      <w:r w:rsidRPr="009F3C59">
        <w:t>Nutku</w:t>
      </w:r>
      <w:r>
        <w:t>’</w:t>
      </w:r>
      <w:r w:rsidRPr="009F3C59">
        <w:t>nun</w:t>
      </w:r>
      <w:proofErr w:type="spellEnd"/>
      <w:r w:rsidRPr="009F3C59">
        <w:t xml:space="preserve"> </w:t>
      </w:r>
      <w:r>
        <w:t>sahibi</w:t>
      </w:r>
      <w:r w:rsidRPr="009F3C59">
        <w:t xml:space="preserve"> Mustafa Kemal Atatürk</w:t>
      </w:r>
      <w:r>
        <w:t>’</w:t>
      </w:r>
      <w:r w:rsidRPr="009F3C59">
        <w:t>ün ifadesiyle</w:t>
      </w:r>
      <w:r>
        <w:t>)</w:t>
      </w:r>
      <w:r w:rsidRPr="009F3C59">
        <w:t xml:space="preserve"> </w:t>
      </w:r>
      <w:r>
        <w:t>“</w:t>
      </w:r>
      <w:r w:rsidRPr="009F3C59">
        <w:t>fazilet</w:t>
      </w:r>
      <w:r>
        <w:t>”</w:t>
      </w:r>
      <w:r w:rsidRPr="009F3C59">
        <w:t>, Cumhuriyet'in ve onun yurttaşların</w:t>
      </w:r>
      <w:r w:rsidR="0037142B">
        <w:t>ın</w:t>
      </w:r>
      <w:r w:rsidRPr="009F3C59">
        <w:t xml:space="preserve"> en önemli meziyetlerinden biri</w:t>
      </w:r>
      <w:r>
        <w:t xml:space="preserve"> olmalıdır</w:t>
      </w:r>
      <w:r w:rsidRPr="009F3C59">
        <w:t xml:space="preserve">. </w:t>
      </w:r>
      <w:r>
        <w:t xml:space="preserve">Bu meziyet uyarınca </w:t>
      </w:r>
      <w:r w:rsidRPr="009F3C59">
        <w:t>Cumhuriyetçi değerlere bağlı yurttaşlar</w:t>
      </w:r>
      <w:r>
        <w:t xml:space="preserve">, </w:t>
      </w:r>
      <w:r w:rsidRPr="009F3C59">
        <w:t xml:space="preserve">her türlü yozlaşmaya karşı uyanık </w:t>
      </w:r>
      <w:r>
        <w:t>olmalı</w:t>
      </w:r>
      <w:r w:rsidRPr="009F3C59">
        <w:t xml:space="preserve"> ve onu baltalayacak olanlara karşı harekete </w:t>
      </w:r>
      <w:r>
        <w:t>geçmelidir</w:t>
      </w:r>
      <w:r w:rsidRPr="009F3C59">
        <w:t>.</w:t>
      </w:r>
      <w:r>
        <w:t xml:space="preserve"> </w:t>
      </w:r>
      <w:r w:rsidRPr="009F3C59">
        <w:t>Cumhuriyetçiler için bu harekete geçme biçimi önce hukuksal yollarl</w:t>
      </w:r>
      <w:r>
        <w:t xml:space="preserve">a, hatta </w:t>
      </w:r>
      <w:r w:rsidRPr="009F3C59">
        <w:t xml:space="preserve">son kertede </w:t>
      </w:r>
      <w:r>
        <w:t xml:space="preserve">(ve icabında) </w:t>
      </w:r>
      <w:r w:rsidR="009E2F99">
        <w:t>güç yoluyla</w:t>
      </w:r>
      <w:r>
        <w:t xml:space="preserve"> direniş</w:t>
      </w:r>
      <w:r w:rsidR="00B81D67">
        <w:t>e</w:t>
      </w:r>
      <w:r w:rsidR="009E2F99">
        <w:t xml:space="preserve"> </w:t>
      </w:r>
      <w:r w:rsidR="00B81D67">
        <w:t>kadar varan direnme biçimleriyle</w:t>
      </w:r>
      <w:r>
        <w:t xml:space="preserve"> </w:t>
      </w:r>
      <w:r w:rsidRPr="009F3C59">
        <w:t>mümkün</w:t>
      </w:r>
      <w:r>
        <w:t xml:space="preserve"> olabilir </w:t>
      </w:r>
      <w:r w:rsidRPr="009F3C59">
        <w:t>ve meşrudur.</w:t>
      </w:r>
      <w:r>
        <w:t xml:space="preserve"> Bu, Cumhuriyet’e adanmış yurttaşların “yurtsever” erdemlerinin bir gereği sayılır.</w:t>
      </w:r>
    </w:p>
    <w:p w14:paraId="7EC3228F" w14:textId="77777777" w:rsidR="00B07B66" w:rsidRDefault="00B07B66" w:rsidP="00B07B66">
      <w:pPr>
        <w:jc w:val="both"/>
      </w:pPr>
      <w:r>
        <w:t>1961 Anayasası’nın hazırlanış sürecindeki tutumlarda ve nihayet Başlangıç kısmında bu perspektifin izleri vardır:</w:t>
      </w:r>
    </w:p>
    <w:p w14:paraId="1F11CA1A" w14:textId="77777777" w:rsidR="00B07B66" w:rsidRPr="00C64568" w:rsidRDefault="00B07B66" w:rsidP="00B07B66">
      <w:pPr>
        <w:ind w:left="708"/>
        <w:jc w:val="both"/>
      </w:pPr>
      <w:r w:rsidRPr="00C64568">
        <w:t xml:space="preserve">“Türkiye Cumhuriyeti Kurucu Meclisi tarafından hazırlanan bu Anayasayı </w:t>
      </w:r>
      <w:proofErr w:type="spellStart"/>
      <w:r w:rsidRPr="00C64568">
        <w:t>kabûl</w:t>
      </w:r>
      <w:proofErr w:type="spellEnd"/>
      <w:r w:rsidRPr="00C64568">
        <w:t xml:space="preserve"> ve ilân ve onu, asıl teminatın vatandaşların gönüllerinde ve iradelerinde yer aldığı inancı ile, hürriyete, adâlete ve fazilete âşık evlâtlarının uyanık bekçiliğine emanet eder.”</w:t>
      </w:r>
    </w:p>
    <w:p w14:paraId="08830E8E" w14:textId="5FB66977" w:rsidR="00B07B66" w:rsidRDefault="00B07B66" w:rsidP="00B07B66">
      <w:pPr>
        <w:jc w:val="both"/>
      </w:pPr>
      <w:proofErr w:type="spellStart"/>
      <w:r>
        <w:t>Jürgen</w:t>
      </w:r>
      <w:proofErr w:type="spellEnd"/>
      <w:r>
        <w:t xml:space="preserve"> </w:t>
      </w:r>
      <w:proofErr w:type="spellStart"/>
      <w:r>
        <w:t>Habermas’ın</w:t>
      </w:r>
      <w:proofErr w:type="spellEnd"/>
      <w:r>
        <w:t xml:space="preserve"> “anayasal yurtseverlik” kavramıyla güncelleştirerek ve etnik öğelerden arındırarak yeniden canlandırmaya çalıştığı bu cumhuriyetçi gelenek, dikkate değer </w:t>
      </w:r>
      <w:r w:rsidR="00B81D67">
        <w:t>olsa da</w:t>
      </w:r>
      <w:r w:rsidR="008666E5">
        <w:t>,</w:t>
      </w:r>
      <w:r>
        <w:t xml:space="preserve"> köprünün altından çok sular geçti</w:t>
      </w:r>
      <w:r w:rsidR="00B81D67">
        <w:t>ğini kaydetmek gerekiyor</w:t>
      </w:r>
      <w:r>
        <w:t>.</w:t>
      </w:r>
      <w:r>
        <w:rPr>
          <w:rStyle w:val="FootnoteReference"/>
        </w:rPr>
        <w:footnoteReference w:id="34"/>
      </w:r>
      <w:r>
        <w:t xml:space="preserve"> Antiklerdeki küçük </w:t>
      </w:r>
      <w:r>
        <w:lastRenderedPageBreak/>
        <w:t xml:space="preserve">cumhuriyetler veya Jean </w:t>
      </w:r>
      <w:proofErr w:type="spellStart"/>
      <w:r>
        <w:t>Jacques</w:t>
      </w:r>
      <w:proofErr w:type="spellEnd"/>
      <w:r>
        <w:t xml:space="preserve"> Rousseau’nun “Cumhuriyetçi anayasa projeleri” için odaklandığı türden küçük nüfuslu devletler, hiç olmadığı kadar büyüdü.</w:t>
      </w:r>
      <w:r>
        <w:rPr>
          <w:rStyle w:val="FootnoteReference"/>
        </w:rPr>
        <w:footnoteReference w:id="35"/>
      </w:r>
      <w:r>
        <w:t xml:space="preserve"> Hele ki küreselleşme süreciyle birlikte devasa nüfuslar ve sınırlar çok daha iç içe geçmiş ve etik kabuller veya müzakere, </w:t>
      </w:r>
      <w:proofErr w:type="spellStart"/>
      <w:r>
        <w:t>oydaşma</w:t>
      </w:r>
      <w:proofErr w:type="spellEnd"/>
      <w:r>
        <w:t xml:space="preserve"> ve tartışmaya dayalı karar alma süreçleri çok daha karmaşık hâle geldi. Bundan daha önemlisi, kapitalizmin her türlü ilişki biçimine sirayet eden kültürel hegemonyası her alanı ticarileştirdi. Böylesi bir bağlamda yurttaşlık erdemlerinin yeşerme olasılığını -özellikle internet teknolojilerindeki değişimler ve onun potansiyelleri dikkate alındığında imkânsız kılmasa da- güçleşti. Dolayısıyla örgütlü toplum</w:t>
      </w:r>
      <w:r>
        <w:rPr>
          <w:rStyle w:val="FootnoteReference"/>
        </w:rPr>
        <w:footnoteReference w:id="36"/>
      </w:r>
      <w:r>
        <w:t xml:space="preserve"> ve onun getirdiği kültür</w:t>
      </w:r>
      <w:r w:rsidR="002E0984">
        <w:t xml:space="preserve">, </w:t>
      </w:r>
      <w:r>
        <w:t>hâlâ temel teminatlardan biri olsa da</w:t>
      </w:r>
      <w:r>
        <w:rPr>
          <w:rStyle w:val="FootnoteReference"/>
        </w:rPr>
        <w:footnoteReference w:id="37"/>
      </w:r>
      <w:r>
        <w:t>, Cumhuriyetçi erdemlerin -kurumsal destekler olmadan- kısa vadede anayasal teminat sağlayacağını hâlâ söyleyemiyoruz.</w:t>
      </w:r>
      <w:r>
        <w:rPr>
          <w:rStyle w:val="FootnoteReference"/>
        </w:rPr>
        <w:footnoteReference w:id="38"/>
      </w:r>
    </w:p>
    <w:p w14:paraId="26D21F86" w14:textId="6E1A519B" w:rsidR="00B07B66" w:rsidRDefault="00B07B66" w:rsidP="00B07B66">
      <w:pPr>
        <w:jc w:val="both"/>
      </w:pPr>
      <w:r>
        <w:t>Bu nedenle, Anayasa’nın nasıl korunacağı sorusuna yanıt ararken kurumsal mekanizmalara yoğunlaşmamız gerekiyor.</w:t>
      </w:r>
    </w:p>
    <w:p w14:paraId="2E7E97D9" w14:textId="08C5B4A4" w:rsidR="002E0984" w:rsidRDefault="002E0984" w:rsidP="002E0984">
      <w:pPr>
        <w:jc w:val="both"/>
      </w:pPr>
      <w:r>
        <w:t xml:space="preserve">Bu yoğunlaşmada öne çıkan ilk öneri, Kıta Avrupası’nda (John Locke ve ondan daha çok Montesquieu’nün biçim verdiği) “erkler ayrılığı” kuramı ve bunu modern </w:t>
      </w:r>
      <w:proofErr w:type="spellStart"/>
      <w:r>
        <w:t>Anglo</w:t>
      </w:r>
      <w:proofErr w:type="spellEnd"/>
      <w:r>
        <w:t>-Amerikan yorumunu anlatan “frenler ve dengeler sistemi” (</w:t>
      </w:r>
      <w:proofErr w:type="spellStart"/>
      <w:r w:rsidRPr="002E0984">
        <w:rPr>
          <w:i/>
          <w:iCs/>
        </w:rPr>
        <w:t>checks</w:t>
      </w:r>
      <w:proofErr w:type="spellEnd"/>
      <w:r w:rsidRPr="002E0984">
        <w:rPr>
          <w:i/>
          <w:iCs/>
        </w:rPr>
        <w:t xml:space="preserve"> </w:t>
      </w:r>
      <w:proofErr w:type="spellStart"/>
      <w:r w:rsidRPr="002E0984">
        <w:rPr>
          <w:i/>
          <w:iCs/>
        </w:rPr>
        <w:t>and</w:t>
      </w:r>
      <w:proofErr w:type="spellEnd"/>
      <w:r w:rsidRPr="002E0984">
        <w:rPr>
          <w:i/>
          <w:iCs/>
        </w:rPr>
        <w:t xml:space="preserve"> </w:t>
      </w:r>
      <w:proofErr w:type="spellStart"/>
      <w:r w:rsidRPr="002E0984">
        <w:rPr>
          <w:i/>
          <w:iCs/>
        </w:rPr>
        <w:t>balances</w:t>
      </w:r>
      <w:proofErr w:type="spellEnd"/>
      <w:r>
        <w:t xml:space="preserve">) oldu. </w:t>
      </w:r>
      <w:proofErr w:type="spellStart"/>
      <w:r>
        <w:t>Madison’un</w:t>
      </w:r>
      <w:proofErr w:type="spellEnd"/>
      <w:r>
        <w:t xml:space="preserve"> </w:t>
      </w:r>
      <w:r w:rsidRPr="002E0984">
        <w:rPr>
          <w:i/>
          <w:iCs/>
        </w:rPr>
        <w:t xml:space="preserve">Federalist </w:t>
      </w:r>
      <w:proofErr w:type="spellStart"/>
      <w:r w:rsidRPr="002E0984">
        <w:rPr>
          <w:i/>
          <w:iCs/>
        </w:rPr>
        <w:t>Yazılar</w:t>
      </w:r>
      <w:r>
        <w:t>’da</w:t>
      </w:r>
      <w:proofErr w:type="spellEnd"/>
      <w:r>
        <w:t xml:space="preserve"> özlü biçimde ortaya koyduğu bu mantığa göre hırsın </w:t>
      </w:r>
      <w:proofErr w:type="spellStart"/>
      <w:r>
        <w:t>panzehiri</w:t>
      </w:r>
      <w:proofErr w:type="spellEnd"/>
      <w:r>
        <w:t xml:space="preserve"> </w:t>
      </w:r>
      <w:r w:rsidR="00C95A17">
        <w:t>karşı-</w:t>
      </w:r>
      <w:r>
        <w:t>hırstır.</w:t>
      </w:r>
      <w:r w:rsidR="00C95A17">
        <w:rPr>
          <w:rStyle w:val="FootnoteReference"/>
        </w:rPr>
        <w:footnoteReference w:id="39"/>
      </w:r>
      <w:r>
        <w:t xml:space="preserve"> Her erk ve o erkin üyeleri, </w:t>
      </w:r>
      <w:r w:rsidRPr="00ED5A07">
        <w:t xml:space="preserve">diğerlerinin pahasına büyümeye </w:t>
      </w:r>
      <w:r>
        <w:t>çalışır ve büyüyen devlet, potansiyel olarak bireysel hakları ihlal eder. Her erkin, çıkarın ve hırsın sınırı bir diğeridir. Bu nedenle çıkar gruplarının çoğulculuğu çatışmanın dinamizmiyle anayasal düzene süreklilik kazandırabilirdi. Yani bu hesaba göre federalizm, temel haklar, erkler ayrılığına dayalı tasarımların tamamı merkezileştirilememiş farklı çıkar gruplarının değişken ittifaklar ve stratejilere yönelecek ve bunun da özgürlük lehine gelişecekti.</w:t>
      </w:r>
      <w:r>
        <w:rPr>
          <w:rStyle w:val="FootnoteReference"/>
        </w:rPr>
        <w:footnoteReference w:id="40"/>
      </w:r>
      <w:r>
        <w:t xml:space="preserve"> Fakat işler öyle yürümedi. Federalistlerin “fitnecilik” olarak gördüğü siyasi partilerin baskınlığı bu dengeyi bozdu. </w:t>
      </w:r>
    </w:p>
    <w:p w14:paraId="3F1C769C" w14:textId="6B9B9403" w:rsidR="002E0984" w:rsidRDefault="002E0984" w:rsidP="002E0984">
      <w:pPr>
        <w:jc w:val="both"/>
      </w:pPr>
      <w:r>
        <w:t>Siyasi partilerin farklı erkleri kapsama ve aynı zamanda çıkar gruplarını kendi içinde belli bir disiplin çerçevesinde eritme nitelikleri bu hesabı alt üst etti.</w:t>
      </w:r>
      <w:r>
        <w:rPr>
          <w:rStyle w:val="FootnoteReference"/>
        </w:rPr>
        <w:footnoteReference w:id="41"/>
      </w:r>
      <w:r>
        <w:t xml:space="preserve"> </w:t>
      </w:r>
      <w:r w:rsidR="008F13F5">
        <w:t>Siyasi partiler çağında y</w:t>
      </w:r>
      <w:r>
        <w:t>asamayı ve yürütme</w:t>
      </w:r>
      <w:r w:rsidR="008F13F5">
        <w:t>yi, hatta merkez ve yereli neredeyse aynılaştıran bu gelişme karşısında Anayasa’yı bekleyecek partiler üstü özne arayışı baş gösterdi. Bunun bir “devlet başkanı” olabileceğini ileri süren bir damar</w:t>
      </w:r>
      <w:r w:rsidR="008F13F5">
        <w:rPr>
          <w:rStyle w:val="FootnoteReference"/>
        </w:rPr>
        <w:footnoteReference w:id="42"/>
      </w:r>
      <w:r w:rsidR="008F13F5">
        <w:t xml:space="preserve"> ile mahkemeler olabileceğini söyleyen bir damar</w:t>
      </w:r>
      <w:r w:rsidR="008F13F5">
        <w:rPr>
          <w:rStyle w:val="FootnoteReference"/>
        </w:rPr>
        <w:footnoteReference w:id="43"/>
      </w:r>
      <w:r w:rsidR="008F13F5">
        <w:t xml:space="preserve"> arasındaki çekişmede üstünlük önce ilkindeyken, </w:t>
      </w:r>
      <w:r w:rsidR="007C3229">
        <w:t>XX.</w:t>
      </w:r>
      <w:r w:rsidR="008F13F5">
        <w:t xml:space="preserve"> yüzyılın ikinci yarısında ikincisi baskınlaştı. Bu </w:t>
      </w:r>
      <w:proofErr w:type="spellStart"/>
      <w:r w:rsidR="008F13F5">
        <w:t>Kelsenciliğin</w:t>
      </w:r>
      <w:proofErr w:type="spellEnd"/>
      <w:r w:rsidR="008F13F5">
        <w:t xml:space="preserve"> yükselişiydi. </w:t>
      </w:r>
      <w:proofErr w:type="spellStart"/>
      <w:r w:rsidR="008F13F5">
        <w:t>Kelsen’e</w:t>
      </w:r>
      <w:proofErr w:type="spellEnd"/>
      <w:r w:rsidR="008F13F5">
        <w:t xml:space="preserve"> göre bu işi mahkemeler yapmalıydı ama olağan mahkemelerin son tahlilde siyasal nitelik taşıyan konularda merkezi karar verici hâline gelmesi hem siyasetin hem de hukukun aleyhine olurdu. Çünkü teknik hukukun ötesinde işlev görecek bir mahkeme </w:t>
      </w:r>
      <w:r w:rsidR="008F13F5">
        <w:lastRenderedPageBreak/>
        <w:t xml:space="preserve">siyasallaşacak, siyasetin aşırı hukuksallaşması da demokratik katılım konusunda gerilimlere neden olabilecekti. Bu nedenle Kelsen, </w:t>
      </w:r>
      <w:r w:rsidR="002022F1">
        <w:t xml:space="preserve">meslekten hukukçulara nazaran daha politik ama gündelik siyasetin içinde olmayan </w:t>
      </w:r>
      <w:r w:rsidR="008424EA">
        <w:t xml:space="preserve">ve farklı erkler ve öznelerden kişilerin katılımıyla oluşacak bir komisyonun seçtiği </w:t>
      </w:r>
      <w:r w:rsidR="002022F1">
        <w:t xml:space="preserve">uzmanlardan </w:t>
      </w:r>
      <w:r w:rsidR="008424EA">
        <w:t xml:space="preserve">oluşan </w:t>
      </w:r>
      <w:r w:rsidR="008F13F5">
        <w:t>merkezileşmiş anayasa mahkemelerini önerdi.</w:t>
      </w:r>
    </w:p>
    <w:p w14:paraId="172278AA" w14:textId="431AFF6A" w:rsidR="008F13F5" w:rsidRDefault="008F13F5" w:rsidP="002E0984">
      <w:pPr>
        <w:jc w:val="both"/>
      </w:pPr>
      <w:r>
        <w:t>İşte dünyanın farklı yerlerinde kabul gören ve zaman içinde yaygınlaşan bu öneri kimilerince “dördüncü erk” olarak tanımlandı. Bunun nedeni, yargısal işlev göremeyip negatif anlamda yasama etkinliği de gösteren, hatta mekanizmalara bağlı olarak idari sonular doğuran eylem ve işlemlerde bulunan bu yapıların kendine özgü niteliğiydi. Gelgelelim geçtiğimiz yüzyılın özellikle son çeyreği gösterdi ki bu yapıların da anayasanın bekçisi olma işlevinin bir sınırı vardı ve hemen her ülkede pek de başarılı olamadılar.</w:t>
      </w:r>
    </w:p>
    <w:p w14:paraId="13ED0DA1" w14:textId="32775D97" w:rsidR="00B81D67" w:rsidRDefault="00C95A17" w:rsidP="002E0984">
      <w:pPr>
        <w:jc w:val="both"/>
      </w:pPr>
      <w:r>
        <w:t xml:space="preserve">Bu başarısızlığın nedeni kimilerine göre anayasa mahkemelerin “siyasi partiler” çağından kendilerini kurtaramamasıydı. </w:t>
      </w:r>
      <w:proofErr w:type="spellStart"/>
      <w:r>
        <w:t>Matt</w:t>
      </w:r>
      <w:proofErr w:type="spellEnd"/>
      <w:r>
        <w:t xml:space="preserve"> </w:t>
      </w:r>
      <w:proofErr w:type="spellStart"/>
      <w:r>
        <w:t>Stephenson</w:t>
      </w:r>
      <w:proofErr w:type="spellEnd"/>
      <w:r>
        <w:t xml:space="preserve">, </w:t>
      </w:r>
      <w:proofErr w:type="spellStart"/>
      <w:r>
        <w:t>Tom</w:t>
      </w:r>
      <w:proofErr w:type="spellEnd"/>
      <w:r>
        <w:t xml:space="preserve"> </w:t>
      </w:r>
      <w:proofErr w:type="spellStart"/>
      <w:r>
        <w:t>Ginsburg</w:t>
      </w:r>
      <w:proofErr w:type="spellEnd"/>
      <w:r>
        <w:t xml:space="preserve"> ve Türkiye’de daha çok yankı uyandıran</w:t>
      </w:r>
      <w:r w:rsidR="005F4C2B">
        <w:rPr>
          <w:rStyle w:val="FootnoteReference"/>
        </w:rPr>
        <w:footnoteReference w:id="44"/>
      </w:r>
      <w:r>
        <w:t xml:space="preserve"> </w:t>
      </w:r>
      <w:proofErr w:type="spellStart"/>
      <w:r>
        <w:t>Ran</w:t>
      </w:r>
      <w:proofErr w:type="spellEnd"/>
      <w:r>
        <w:t xml:space="preserve"> </w:t>
      </w:r>
      <w:proofErr w:type="spellStart"/>
      <w:r>
        <w:t>Hirschl’in</w:t>
      </w:r>
      <w:proofErr w:type="spellEnd"/>
      <w:r>
        <w:t xml:space="preserve"> yaklaşımına katılacak olursak</w:t>
      </w:r>
      <w:r w:rsidR="005F4C2B">
        <w:t xml:space="preserve">, </w:t>
      </w:r>
      <w:r>
        <w:t xml:space="preserve">söz konusu mahkemelerin başarısızlığının nedeni, belli (ve </w:t>
      </w:r>
      <w:proofErr w:type="spellStart"/>
      <w:r>
        <w:t>hegemonik</w:t>
      </w:r>
      <w:proofErr w:type="spellEnd"/>
      <w:r>
        <w:t xml:space="preserve"> olarak güçlü) siyasi partilerce, kendi uzun vadeli beklenti ve çıkarlarını güvence altına almak için kurulmuş olmalarıydı. Yani bu mahkemeler, onları kuranların sigortası oldukları için anayasal dinamizme yanıt üretemiyor ve çatıştıkça aşınıyordu.</w:t>
      </w:r>
      <w:r w:rsidR="00B81D67">
        <w:t xml:space="preserve"> </w:t>
      </w:r>
    </w:p>
    <w:p w14:paraId="7DC56710" w14:textId="69F3343C" w:rsidR="00C95A17" w:rsidRDefault="00B81D67" w:rsidP="002E0984">
      <w:pPr>
        <w:jc w:val="both"/>
      </w:pPr>
      <w:r>
        <w:t>İşte bu uğrakta yeni arayışlar ortaya çıktı. Bu uğraş erkler ayrılığı teorisinin gözden geçirilmesini önerdi.</w:t>
      </w:r>
    </w:p>
    <w:p w14:paraId="632B7F91" w14:textId="33FB08AE" w:rsidR="008F13F5" w:rsidRDefault="001E7C09" w:rsidP="00653DD9">
      <w:pPr>
        <w:pStyle w:val="Heading2"/>
      </w:pPr>
      <w:bookmarkStart w:id="8" w:name="_Toc82898687"/>
      <w:r>
        <w:t>1. Literatürde</w:t>
      </w:r>
      <w:bookmarkEnd w:id="8"/>
    </w:p>
    <w:p w14:paraId="3D0E47FA" w14:textId="1AFC2B96" w:rsidR="00C95A17" w:rsidRDefault="00B81D67" w:rsidP="00C95A17">
      <w:pPr>
        <w:jc w:val="both"/>
      </w:pPr>
      <w:r>
        <w:t>Erkler ayrılığının ve</w:t>
      </w:r>
      <w:r w:rsidR="00FE7873">
        <w:t xml:space="preserve"> anayasa yargısının </w:t>
      </w:r>
      <w:r w:rsidR="00C95A17">
        <w:t>yetersizliklere karşı, literatürde özellikle 1980’li yılların ikinci yarısından itibaren yeni arayışlar baş gösterdi. Bu alanda çok sayıda eser bulunsa da beş tanesi özellikle dikkat çekicidir.</w:t>
      </w:r>
      <w:r w:rsidR="00C95A17">
        <w:rPr>
          <w:rStyle w:val="FootnoteReference"/>
        </w:rPr>
        <w:footnoteReference w:id="45"/>
      </w:r>
      <w:r w:rsidR="00C95A17">
        <w:t xml:space="preserve"> Bunlardan ilki Harvard Üniversitesi’nin politika felsefecisi </w:t>
      </w:r>
      <w:proofErr w:type="spellStart"/>
      <w:r w:rsidR="00C95A17" w:rsidRPr="000C3986">
        <w:t>Roberto</w:t>
      </w:r>
      <w:proofErr w:type="spellEnd"/>
      <w:r w:rsidR="00C95A17" w:rsidRPr="000C3986">
        <w:t xml:space="preserve"> </w:t>
      </w:r>
      <w:proofErr w:type="spellStart"/>
      <w:r w:rsidR="00C95A17" w:rsidRPr="000C3986">
        <w:t>Mangabeira</w:t>
      </w:r>
      <w:proofErr w:type="spellEnd"/>
      <w:r w:rsidR="00C95A17">
        <w:t xml:space="preserve"> </w:t>
      </w:r>
      <w:proofErr w:type="spellStart"/>
      <w:r w:rsidR="00C95A17">
        <w:t>Unger’in</w:t>
      </w:r>
      <w:proofErr w:type="spellEnd"/>
      <w:r w:rsidR="00C95A17">
        <w:t xml:space="preserve"> </w:t>
      </w:r>
      <w:r w:rsidR="00C95A17" w:rsidRPr="00FE7873">
        <w:rPr>
          <w:i/>
          <w:iCs/>
        </w:rPr>
        <w:t>Yanlış Gereklilik</w:t>
      </w:r>
      <w:r w:rsidR="00C95A17">
        <w:t xml:space="preserve"> kitabı oldu. </w:t>
      </w:r>
      <w:proofErr w:type="spellStart"/>
      <w:r w:rsidR="00C95A17">
        <w:t>Unger</w:t>
      </w:r>
      <w:proofErr w:type="spellEnd"/>
      <w:r w:rsidR="00C95A17">
        <w:t xml:space="preserve"> o kitapta erkler ayrılığı teorisinin bir tür amentü gibi algılanmasını eleştirdiği gibi bunun statik bir kurumlaşmaya yol açtığı için tehlikeli olduğunu ileri sürer. </w:t>
      </w:r>
      <w:proofErr w:type="spellStart"/>
      <w:r w:rsidR="00C95A17">
        <w:t>Unger’e</w:t>
      </w:r>
      <w:proofErr w:type="spellEnd"/>
      <w:r w:rsidR="00C95A17">
        <w:t xml:space="preserve"> göre erklerin sayısında sınırlamaya gitmek yerine, mercek değiştirerek, çoğalmaya kapı aralamak gerekir. İletişime, bilgiye ve uzmanlığa erişimi olanaklı kılacak yolları genişletecek türden yeni araçlara şans tanınmalı ve her türden dönüştürücü pratiğe şans tanıyacak bir “istikrarsızlaştırma erki” benimsenmelidir.</w:t>
      </w:r>
      <w:r w:rsidR="00C95A17">
        <w:rPr>
          <w:rStyle w:val="FootnoteReference"/>
        </w:rPr>
        <w:footnoteReference w:id="46"/>
      </w:r>
      <w:r w:rsidR="00FE7873">
        <w:t xml:space="preserve"> Bir ütopyacı olarak </w:t>
      </w:r>
      <w:proofErr w:type="spellStart"/>
      <w:r w:rsidR="00FE7873">
        <w:t>Unger</w:t>
      </w:r>
      <w:proofErr w:type="spellEnd"/>
      <w:r w:rsidR="00FE7873">
        <w:t>, kitabında nasıl bir öneri getirdiğini spesifik olarak somutlamasa da</w:t>
      </w:r>
      <w:r w:rsidR="00326BD6">
        <w:t xml:space="preserve"> her türlü kurumda hatta özel tüzel kişilerde kemikleşmeye karşı mekanizmaların gerekliliğine vurgu yaptı. Yargı erkinin idari pratikleri hatta siyasa değişikliklerine neden olan çıkarımları (</w:t>
      </w:r>
      <w:proofErr w:type="spellStart"/>
      <w:r w:rsidR="00326BD6">
        <w:t>örn</w:t>
      </w:r>
      <w:proofErr w:type="spellEnd"/>
      <w:r w:rsidR="00326BD6">
        <w:t xml:space="preserve">. siyahların eğitim hakkı, eşcinsellerin evlenme hakkı vb.) bu türden bir istikrarsızlaştırma örneği sayılabilir. </w:t>
      </w:r>
    </w:p>
    <w:p w14:paraId="67EC11B1" w14:textId="7B910375" w:rsidR="00C95A17" w:rsidRDefault="00C95A17" w:rsidP="00C95A17">
      <w:pPr>
        <w:jc w:val="both"/>
      </w:pPr>
      <w:r>
        <w:t xml:space="preserve">İkinci önemli köşe taşı </w:t>
      </w:r>
      <w:r w:rsidRPr="0067581E">
        <w:t xml:space="preserve">Bruce </w:t>
      </w:r>
      <w:proofErr w:type="spellStart"/>
      <w:r w:rsidRPr="0067581E">
        <w:t>Ackerman</w:t>
      </w:r>
      <w:r>
        <w:t>’</w:t>
      </w:r>
      <w:r w:rsidRPr="0067581E">
        <w:t>ın</w:t>
      </w:r>
      <w:proofErr w:type="spellEnd"/>
      <w:r w:rsidRPr="0067581E">
        <w:t xml:space="preserve"> </w:t>
      </w:r>
      <w:r w:rsidRPr="00FE7873">
        <w:rPr>
          <w:i/>
          <w:iCs/>
        </w:rPr>
        <w:t>Yeni Erkler Ayrılığı</w:t>
      </w:r>
      <w:r w:rsidRPr="0067581E">
        <w:t xml:space="preserve"> </w:t>
      </w:r>
      <w:r>
        <w:t>eseridir.</w:t>
      </w:r>
      <w:r>
        <w:rPr>
          <w:rStyle w:val="FootnoteReference"/>
        </w:rPr>
        <w:footnoteReference w:id="47"/>
      </w:r>
      <w:r>
        <w:t xml:space="preserve"> Yale Üniversitesi’nin anayasa hukukçusu </w:t>
      </w:r>
      <w:proofErr w:type="spellStart"/>
      <w:r>
        <w:t>Ackerman</w:t>
      </w:r>
      <w:proofErr w:type="spellEnd"/>
      <w:r>
        <w:t xml:space="preserve">, bu eserde, </w:t>
      </w:r>
      <w:proofErr w:type="spellStart"/>
      <w:r>
        <w:t>Unger’e</w:t>
      </w:r>
      <w:proofErr w:type="spellEnd"/>
      <w:r>
        <w:t xml:space="preserve"> nazaran hukukçulara özgü bir temkinlilikle yeni erk üretiminde çok açılmadan, meseleyi “yolsuzluk” sorununa odaklanarak ele alır. Yazara göre klasik erkler ayrılığı kuramına, özellikle idari bürokrasinin gündelik ilişkilerdeki yozlaşma ve yolsuzluklarını tasfiye etmeye yönelen, yüksek maaşlara veya hizmet sonrası istihdamlara yoğunlaşan bir de “dürüstlük erki” eklenmelidir.</w:t>
      </w:r>
    </w:p>
    <w:p w14:paraId="666FA544" w14:textId="77777777" w:rsidR="00C95A17" w:rsidRDefault="00C95A17" w:rsidP="00C95A17">
      <w:pPr>
        <w:jc w:val="both"/>
      </w:pPr>
      <w:r>
        <w:lastRenderedPageBreak/>
        <w:t xml:space="preserve">Bir diğer dikkate değer eser Frank </w:t>
      </w:r>
      <w:proofErr w:type="spellStart"/>
      <w:r>
        <w:t>Vibert’in</w:t>
      </w:r>
      <w:proofErr w:type="spellEnd"/>
      <w:r>
        <w:t xml:space="preserve"> </w:t>
      </w:r>
      <w:r w:rsidRPr="00C937F1">
        <w:rPr>
          <w:i/>
          <w:iCs/>
        </w:rPr>
        <w:t>Seçilmemişlerin Yükselişi, Demokrasi ve Yeni Erkler Ayrılığı</w:t>
      </w:r>
      <w:r>
        <w:t xml:space="preserve"> kitabıdır. Bu eserde meseleye kamu yönetimi perspektifinden bakan yazar, yeni erkleri sistemli biçimde ileri sürmekten ziyade, artık bildiğimiz erkler ayrılığı teorisinin, değişen teknolojiler ve teknik uzmanlığın artan önemi karşısında geçerliliğini sorgular. </w:t>
      </w:r>
      <w:r>
        <w:rPr>
          <w:rStyle w:val="FootnoteReference"/>
        </w:rPr>
        <w:footnoteReference w:id="48"/>
      </w:r>
      <w:r>
        <w:t xml:space="preserve">  Son olarak, </w:t>
      </w:r>
      <w:proofErr w:type="gramStart"/>
      <w:r w:rsidRPr="00C937F1">
        <w:t>Martin</w:t>
      </w:r>
      <w:proofErr w:type="gramEnd"/>
      <w:r>
        <w:t xml:space="preserve"> </w:t>
      </w:r>
      <w:proofErr w:type="spellStart"/>
      <w:r w:rsidRPr="001C60B1">
        <w:t>Loughlin</w:t>
      </w:r>
      <w:r>
        <w:t>’in</w:t>
      </w:r>
      <w:proofErr w:type="spellEnd"/>
      <w:r>
        <w:t xml:space="preserve">, Türkçeye yakın zaman önce değerli kamu hukukçusu meslektaşlarımızca titizlikle çevrilen </w:t>
      </w:r>
      <w:r w:rsidRPr="00C937F1">
        <w:rPr>
          <w:i/>
          <w:iCs/>
        </w:rPr>
        <w:t>Kamu Hukukunun Temelleri</w:t>
      </w:r>
      <w:r>
        <w:t xml:space="preserve"> eserinde ileri sürülüyor. </w:t>
      </w:r>
      <w:proofErr w:type="spellStart"/>
      <w:r>
        <w:t>LSE’deki</w:t>
      </w:r>
      <w:proofErr w:type="spellEnd"/>
      <w:r>
        <w:t xml:space="preserve"> kamu hukuku derslerini veren </w:t>
      </w:r>
      <w:proofErr w:type="spellStart"/>
      <w:r w:rsidRPr="001C60B1">
        <w:t>Loughlin</w:t>
      </w:r>
      <w:proofErr w:type="spellEnd"/>
      <w:r w:rsidRPr="001C60B1">
        <w:t xml:space="preserve"> </w:t>
      </w:r>
      <w:r>
        <w:t xml:space="preserve">de konuya benzer bir odakla yaklaşmakla birlikte tarihsel bir perspektif katıyor. Modern kamu hukukunda, </w:t>
      </w:r>
      <w:proofErr w:type="spellStart"/>
      <w:r w:rsidRPr="001C60B1">
        <w:t>Sparta</w:t>
      </w:r>
      <w:r>
        <w:t>’</w:t>
      </w:r>
      <w:r w:rsidRPr="001C60B1">
        <w:t>daki</w:t>
      </w:r>
      <w:proofErr w:type="spellEnd"/>
      <w:r w:rsidRPr="001C60B1">
        <w:t xml:space="preserve"> </w:t>
      </w:r>
      <w:r>
        <w:t>eforlara (</w:t>
      </w:r>
      <w:r w:rsidRPr="001C60B1">
        <w:t xml:space="preserve">her yıl dönemlik </w:t>
      </w:r>
      <w:r>
        <w:t>olarak</w:t>
      </w:r>
      <w:r w:rsidRPr="001C60B1">
        <w:t xml:space="preserve"> seçilen, aylık olarak kralın emirlerine -karlın da kanunlara uyacağına ant içmesi kaydıyla- ant içen üst düzey barış yargıçlar</w:t>
      </w:r>
      <w:r>
        <w:t xml:space="preserve">ına) benzer statülerin oluştuğuna dikkat çeken yazar, </w:t>
      </w:r>
      <w:r w:rsidRPr="001C60B1">
        <w:t>“</w:t>
      </w:r>
      <w:r>
        <w:t>d</w:t>
      </w:r>
      <w:r w:rsidRPr="001C60B1">
        <w:t>evlet işlerinin nasıl yürüdüğünü sürekli gözlemley</w:t>
      </w:r>
      <w:r>
        <w:t>en</w:t>
      </w:r>
      <w:r w:rsidRPr="001C60B1">
        <w:t>” ve “gerektiği yerde soruşturma yapma hakkına sahip ol</w:t>
      </w:r>
      <w:r>
        <w:t>an</w:t>
      </w:r>
      <w:r w:rsidRPr="001C60B1">
        <w:t>”</w:t>
      </w:r>
      <w:r>
        <w:t xml:space="preserve"> bu öznelerin ayrı bir erk olarak kavranması gerektiğini ileri sürer.</w:t>
      </w:r>
      <w:r>
        <w:rPr>
          <w:rStyle w:val="FootnoteReference"/>
        </w:rPr>
        <w:footnoteReference w:id="49"/>
      </w:r>
      <w:r>
        <w:t xml:space="preserve"> </w:t>
      </w:r>
    </w:p>
    <w:p w14:paraId="6424061B" w14:textId="362F1966" w:rsidR="00C95A17" w:rsidRDefault="00C95A17" w:rsidP="00C95A17">
      <w:pPr>
        <w:jc w:val="both"/>
      </w:pPr>
      <w:r>
        <w:t xml:space="preserve">Bu konudaki son önemli eser, karşılaştırmalı anayasa hukuku çalışmalarıyla ve sol kanat analizleriyle öne çıkan Harvard Üniversitesi’nin </w:t>
      </w:r>
      <w:proofErr w:type="spellStart"/>
      <w:r w:rsidR="00FE7873" w:rsidRPr="00FE7873">
        <w:t>emeritüs</w:t>
      </w:r>
      <w:proofErr w:type="spellEnd"/>
      <w:r w:rsidR="00FE7873" w:rsidRPr="00FE7873">
        <w:t xml:space="preserve"> </w:t>
      </w:r>
      <w:r>
        <w:t xml:space="preserve">profesörü Mark </w:t>
      </w:r>
      <w:proofErr w:type="spellStart"/>
      <w:r>
        <w:t>Tushnet’in</w:t>
      </w:r>
      <w:proofErr w:type="spellEnd"/>
      <w:r>
        <w:t xml:space="preserve"> “</w:t>
      </w:r>
      <w:r w:rsidR="002D2A81">
        <w:t xml:space="preserve">Yeni </w:t>
      </w:r>
      <w:r>
        <w:t xml:space="preserve">Dördüncü Dal” eseri oldu. Bu alandaki literatürü analiz eden ve konuyu </w:t>
      </w:r>
      <w:proofErr w:type="spellStart"/>
      <w:r>
        <w:t>sistematiz</w:t>
      </w:r>
      <w:r w:rsidR="00FE7873">
        <w:t>e</w:t>
      </w:r>
      <w:proofErr w:type="spellEnd"/>
      <w:r>
        <w:t xml:space="preserve"> etmeye çalışan yazar, yolsuzluk komisyonları bağl</w:t>
      </w:r>
      <w:r w:rsidR="00174B4E">
        <w:t>a</w:t>
      </w:r>
      <w:r>
        <w:t>mında Br</w:t>
      </w:r>
      <w:r w:rsidR="00FE7873">
        <w:t>e</w:t>
      </w:r>
      <w:r>
        <w:t xml:space="preserve">zilya ve Güney Afrika </w:t>
      </w:r>
      <w:r w:rsidR="00AF4E09">
        <w:t xml:space="preserve">Cumhuriyeti (GAC) </w:t>
      </w:r>
      <w:r>
        <w:t xml:space="preserve">örneklerini, seçim komisyonları bağlamında ABD ve Güney Kore örneklerini karşılaştırarak ve hesap denetimi konusunda Kanada ve Hindistan örneklerine odaklanarak ampirik çıktılar sunmaya yöneliyor. </w:t>
      </w:r>
      <w:proofErr w:type="spellStart"/>
      <w:r>
        <w:t>Tushnet’in</w:t>
      </w:r>
      <w:proofErr w:type="spellEnd"/>
      <w:r>
        <w:t xml:space="preserve"> dördüncü erk kabulü, </w:t>
      </w:r>
      <w:r w:rsidR="00AF4E09">
        <w:t xml:space="preserve">GAC </w:t>
      </w:r>
      <w:r>
        <w:t xml:space="preserve">Anayasası’ndan mülhem </w:t>
      </w:r>
      <w:r w:rsidR="004D5BCD">
        <w:t>“demokrasiyi destekleyen</w:t>
      </w:r>
      <w:r>
        <w:t xml:space="preserve"> kurumlar” </w:t>
      </w:r>
      <w:r w:rsidR="00FE7873">
        <w:t>eksenindedir</w:t>
      </w:r>
      <w:r>
        <w:t>.</w:t>
      </w:r>
    </w:p>
    <w:p w14:paraId="1CE4E17A" w14:textId="136D6CAC" w:rsidR="00955367" w:rsidRDefault="00955367" w:rsidP="00C95A17">
      <w:pPr>
        <w:jc w:val="both"/>
      </w:pPr>
      <w:proofErr w:type="spellStart"/>
      <w:r>
        <w:t>Tushnet</w:t>
      </w:r>
      <w:proofErr w:type="spellEnd"/>
      <w:r>
        <w:t xml:space="preserve"> bu kurumların varlığını, her</w:t>
      </w:r>
      <w:r w:rsidR="00336A95">
        <w:t xml:space="preserve"> </w:t>
      </w:r>
      <w:r>
        <w:t xml:space="preserve">şeyden önce ele aldıkları sorunun meslekten gelmeyen anayasa mahkemesi yargıçlarını dahi aşacak denli spesifik bir uzmanlığı gerektirmesinden ötürü desteklemektedir. Yazar ayrıca her biri genel siyasetin üzerinde çok büyük etkiler doğuracak sorunları karara bağlama işinin sadece Anayasa Mahkemesinin üzerinde bırakılmasının yoğun bir basınç anlamına geldiği bu nedenle eş kurumların varlığının biraz olsun paylaşım anlamına geleceğini savlar. Bu hem bağımsızlığı güçlendirecek hem de siyasallaşma marjını azaltabilecektir. Buna karşılık </w:t>
      </w:r>
      <w:proofErr w:type="spellStart"/>
      <w:r>
        <w:t>Tushnet</w:t>
      </w:r>
      <w:proofErr w:type="spellEnd"/>
      <w:r>
        <w:t>, bu kurumların klasik erkler arasında gerilime ve yetki tartışmalarına kapı aralayabileceğini akılda tutar. Ayrıca bu kurulların yeni aktörler olarak aşırı bağımsız olmasının hesap</w:t>
      </w:r>
      <w:r w:rsidR="00336A95">
        <w:t xml:space="preserve"> </w:t>
      </w:r>
      <w:r>
        <w:t>verebilirlik marjını azaltabileceği ve geleneksel dengeleri (uzman oldukları konuda aşırı hassas olmalarından da ötürü) gereksiz yere bozabileceğine de dikkat çeker.</w:t>
      </w:r>
      <w:r>
        <w:rPr>
          <w:rStyle w:val="FootnoteReference"/>
        </w:rPr>
        <w:footnoteReference w:id="50"/>
      </w:r>
      <w:r>
        <w:t xml:space="preserve"> </w:t>
      </w:r>
    </w:p>
    <w:p w14:paraId="0AAE99D3" w14:textId="28B05F95" w:rsidR="00174B4E" w:rsidRDefault="001E7C09" w:rsidP="00653DD9">
      <w:pPr>
        <w:pStyle w:val="Heading2"/>
      </w:pPr>
      <w:bookmarkStart w:id="9" w:name="_Toc82898688"/>
      <w:r>
        <w:t>2.</w:t>
      </w:r>
      <w:r w:rsidR="00174B4E">
        <w:t xml:space="preserve"> </w:t>
      </w:r>
      <w:r>
        <w:t>Anayasalarda</w:t>
      </w:r>
      <w:bookmarkEnd w:id="9"/>
    </w:p>
    <w:p w14:paraId="1F6BCCBC" w14:textId="704B7CC3" w:rsidR="00174B4E" w:rsidRDefault="00174B4E" w:rsidP="00C95A17">
      <w:pPr>
        <w:jc w:val="both"/>
      </w:pPr>
      <w:r>
        <w:t>Dördüncü erk kavramı, kimi zaman bu erki anayasa yargısından ayırmak amacıyla “beşinci erk” olarak da ifade edilir. Dahası, bu kategorinin yargısal alandan çok işlevsel olarak yürütmeye benzer işlevlerinin ağır basıyor olması da onun ayrı bir erk olarak tanımlanmasına neden olur. Bu erklere ilişkin farklılık, gerçek anlamda kural koyma, kural uygulama ve denetleme gibi etkinlikler göstermemeleri; eğer ille de yürütmeyle ilişkilen</w:t>
      </w:r>
      <w:r w:rsidR="00434747">
        <w:t>diril</w:t>
      </w:r>
      <w:r>
        <w:t xml:space="preserve">ebilecek bir etkinlikleri varsa da bunun siyasal baskıdan arınması gerekliliğidir. Bu yönüyle dördüncü veya beşinci erkler anayasayı, yürütme içinde ama siyasal etkilerden bağımsız olarak koruyan kurumların oluşturduğu bir kategoriyi ifade eder. Duruma göre bağımsız idari otoriteleri de kapsayan ama onları da aşan bu gruplar bünyesindeki kurumların ve işlevlerin sayısı sınırlı tutulmaz. </w:t>
      </w:r>
    </w:p>
    <w:p w14:paraId="13FC78CD" w14:textId="4A8A2E9A" w:rsidR="00174B4E" w:rsidRDefault="00174B4E" w:rsidP="00C95A17">
      <w:pPr>
        <w:jc w:val="both"/>
      </w:pPr>
      <w:r>
        <w:lastRenderedPageBreak/>
        <w:t xml:space="preserve">Örneğin John </w:t>
      </w:r>
      <w:proofErr w:type="spellStart"/>
      <w:r>
        <w:t>Ackerman’ın</w:t>
      </w:r>
      <w:proofErr w:type="spellEnd"/>
      <w:r>
        <w:t xml:space="preserve"> bir çalışmasına göre bu türden bağımsız kurumların sayısı, kimi anayasalarda bir düzineye yaklaşmaktadır.</w:t>
      </w:r>
      <w:r>
        <w:rPr>
          <w:rStyle w:val="FootnoteReference"/>
        </w:rPr>
        <w:footnoteReference w:id="51"/>
      </w:r>
      <w:r>
        <w:t xml:space="preserve"> İlginçtir, bu örnekler “</w:t>
      </w:r>
      <w:r w:rsidR="008E2800">
        <w:t>K</w:t>
      </w:r>
      <w:r>
        <w:t xml:space="preserve">üresel </w:t>
      </w:r>
      <w:r w:rsidR="008E2800">
        <w:t>G</w:t>
      </w:r>
      <w:r>
        <w:t xml:space="preserve">üney” (Global South) ülkelerinde yoğunlaşır. </w:t>
      </w:r>
      <w:r w:rsidR="008E2800">
        <w:t>Bu ülkeler de (i) iç dinamikleriyle ama çatışmasız dönüşüm geçiren (Filipinler, Macaristan, Şili, Yunanistan), (ii) savaş sonrası dış güçlerin etkisiyle dönüşüm geçiren (Afganistan, Ruanda, Irak, Sırbistan ve Somali) ve (iii) görece eski bir anayasal geleneği olan ve sol kanat aktörlerin etkisiyle köklü değişikliklerin yaşanageldiği (</w:t>
      </w:r>
      <w:proofErr w:type="spellStart"/>
      <w:r w:rsidR="008E2800">
        <w:t>Ekvador</w:t>
      </w:r>
      <w:proofErr w:type="spellEnd"/>
      <w:r w:rsidR="008E2800">
        <w:t>, Güney Afrika, Peru, Venez</w:t>
      </w:r>
      <w:r w:rsidR="006F4197">
        <w:t>u</w:t>
      </w:r>
      <w:r w:rsidR="008E2800">
        <w:t xml:space="preserve">ela) ülkeler olmasıdır. </w:t>
      </w:r>
    </w:p>
    <w:p w14:paraId="01BA4828" w14:textId="4474BFAB" w:rsidR="008E2800" w:rsidRDefault="008E2800" w:rsidP="00C95A17">
      <w:pPr>
        <w:jc w:val="both"/>
      </w:pPr>
      <w:r>
        <w:t xml:space="preserve">Gereken bağımsızlığı sağlamaları koşuluyla </w:t>
      </w:r>
      <w:r w:rsidR="00336A95">
        <w:t>Ka</w:t>
      </w:r>
      <w:r>
        <w:t xml:space="preserve">mu </w:t>
      </w:r>
      <w:proofErr w:type="spellStart"/>
      <w:r w:rsidR="00336A95">
        <w:t>B</w:t>
      </w:r>
      <w:r>
        <w:t>aşdenetçiliği</w:t>
      </w:r>
      <w:proofErr w:type="spellEnd"/>
      <w:r w:rsidR="006F4197">
        <w:t xml:space="preserve">, </w:t>
      </w:r>
      <w:r>
        <w:t xml:space="preserve">halk savcılığı, ulusal insan hakları kurulları gibi insan hakları lehine iş gören kurumlar; münhasıran çevreyi korumak konusunda bilimsel, </w:t>
      </w:r>
      <w:proofErr w:type="spellStart"/>
      <w:r>
        <w:t>istişari</w:t>
      </w:r>
      <w:proofErr w:type="spellEnd"/>
      <w:r>
        <w:t xml:space="preserve"> hatta bazı koşullarda yargısal etkinlik gösteren konseyler, kural koyma, uygulama ve denetleme gibi işlevleri belli bir marj içinde bünyesinde toplayan seçim kurulları, mali denetim organları ve hatta merkez bankaları bu kategorilerin içine eklenmektedir.</w:t>
      </w:r>
    </w:p>
    <w:p w14:paraId="51DC480F" w14:textId="0C8AEB36" w:rsidR="008E2800" w:rsidRDefault="008E2800" w:rsidP="00C95A17">
      <w:pPr>
        <w:jc w:val="both"/>
      </w:pPr>
      <w:r>
        <w:t>Bu kurumlar dağınık biçimde ele alınabileceği, gerçekten bağımsızlıktan yoksun olabileceği gibi bazen ayrı bir başlık altında ele alınabilmekte hatta erklerin çokluğu anayasal olarak ifade edilebilmektedir.</w:t>
      </w:r>
    </w:p>
    <w:p w14:paraId="54068AFD" w14:textId="437D8271" w:rsidR="00D040E3" w:rsidRDefault="008E2800" w:rsidP="00C95A17">
      <w:pPr>
        <w:jc w:val="both"/>
      </w:pPr>
      <w:r>
        <w:t xml:space="preserve">Bu bağlamda </w:t>
      </w:r>
      <w:r w:rsidR="006F4197">
        <w:t xml:space="preserve">2008 tarihli </w:t>
      </w:r>
      <w:proofErr w:type="spellStart"/>
      <w:r>
        <w:t>Ekvador</w:t>
      </w:r>
      <w:proofErr w:type="spellEnd"/>
      <w:r>
        <w:t xml:space="preserve"> Anayasası, özellikle </w:t>
      </w:r>
      <w:r w:rsidR="006F4197">
        <w:t>dikkat çekicidir</w:t>
      </w:r>
      <w:r>
        <w:t>. Liberal kabullerden</w:t>
      </w:r>
      <w:r w:rsidR="00CB684C">
        <w:rPr>
          <w:rStyle w:val="FootnoteReference"/>
        </w:rPr>
        <w:footnoteReference w:id="52"/>
      </w:r>
      <w:r>
        <w:t xml:space="preserve"> ve bu çerçevede klasik erkler ayrılığı kuramından köklü biçimde bilinçli bir kopuşu ortaya koyma</w:t>
      </w:r>
      <w:r w:rsidR="006F4197">
        <w:t xml:space="preserve"> niyetiyle kaleme alınan bu Anayasa’da, erkler üçlü değil</w:t>
      </w:r>
      <w:r w:rsidR="001E7C09">
        <w:t xml:space="preserve">, </w:t>
      </w:r>
      <w:r w:rsidR="006F4197">
        <w:t xml:space="preserve">altılı biçimde düzenlenmiştir. </w:t>
      </w:r>
      <w:r w:rsidR="00CB684C">
        <w:t xml:space="preserve"> </w:t>
      </w:r>
      <w:r w:rsidR="006F4197">
        <w:t>Anayasa</w:t>
      </w:r>
      <w:r w:rsidR="00CB684C">
        <w:t>’nın “</w:t>
      </w:r>
      <w:r w:rsidR="00CB684C" w:rsidRPr="00CB684C">
        <w:t>Katıl</w:t>
      </w:r>
      <w:r w:rsidR="00CB684C">
        <w:t>ım</w:t>
      </w:r>
      <w:r w:rsidR="00CB684C" w:rsidRPr="00CB684C">
        <w:t xml:space="preserve"> ve İktidarın Örgütlenmesi</w:t>
      </w:r>
      <w:r w:rsidR="00CB684C">
        <w:t xml:space="preserve">” başlıklı dördüncü kısmında, </w:t>
      </w:r>
      <w:r w:rsidR="006F4197">
        <w:t xml:space="preserve">klasik üç erkin yanı sıra </w:t>
      </w:r>
      <w:r w:rsidR="00CB684C">
        <w:t>“</w:t>
      </w:r>
      <w:r w:rsidR="006F4197">
        <w:t>yerli adaleti</w:t>
      </w:r>
      <w:r w:rsidR="00CB684C">
        <w:t>”</w:t>
      </w:r>
      <w:r w:rsidR="006F4197">
        <w:t xml:space="preserve">, </w:t>
      </w:r>
      <w:r w:rsidR="00CB684C">
        <w:t>“</w:t>
      </w:r>
      <w:r w:rsidR="006F4197">
        <w:t>şeffaflık ve toplumsal denetim</w:t>
      </w:r>
      <w:r w:rsidR="00CB684C">
        <w:t>”</w:t>
      </w:r>
      <w:r w:rsidR="006F4197">
        <w:t xml:space="preserve"> ve </w:t>
      </w:r>
      <w:r w:rsidR="00CB684C">
        <w:t>“</w:t>
      </w:r>
      <w:r w:rsidR="006F4197">
        <w:t>seçim</w:t>
      </w:r>
      <w:r w:rsidR="00CB684C">
        <w:t>”</w:t>
      </w:r>
      <w:r w:rsidR="006F4197">
        <w:t xml:space="preserve"> </w:t>
      </w:r>
      <w:r w:rsidR="00CB684C">
        <w:t xml:space="preserve">biçiminde üç </w:t>
      </w:r>
      <w:r w:rsidR="006F4197">
        <w:t xml:space="preserve">erk daha </w:t>
      </w:r>
      <w:r w:rsidR="00CB684C">
        <w:t>yer almaktadır.</w:t>
      </w:r>
      <w:r w:rsidR="00CB684C">
        <w:rPr>
          <w:rStyle w:val="FootnoteReference"/>
        </w:rPr>
        <w:footnoteReference w:id="53"/>
      </w:r>
      <w:r w:rsidR="00CB684C">
        <w:t xml:space="preserve"> Anayasa bunlardan ayrı olarak bir de Anayasa Mahkemesi ile </w:t>
      </w:r>
      <w:proofErr w:type="spellStart"/>
      <w:r w:rsidR="00CB684C" w:rsidRPr="00CB684C">
        <w:rPr>
          <w:i/>
          <w:iCs/>
        </w:rPr>
        <w:t>Procurador</w:t>
      </w:r>
      <w:proofErr w:type="spellEnd"/>
      <w:r w:rsidR="00CB684C" w:rsidRPr="00CB684C">
        <w:rPr>
          <w:i/>
          <w:iCs/>
        </w:rPr>
        <w:t xml:space="preserve"> General</w:t>
      </w:r>
      <w:r w:rsidR="00CB684C">
        <w:t xml:space="preserve"> ve</w:t>
      </w:r>
      <w:r w:rsidR="00CB684C" w:rsidRPr="00CB684C">
        <w:t xml:space="preserve"> </w:t>
      </w:r>
      <w:proofErr w:type="spellStart"/>
      <w:r w:rsidR="00CB684C" w:rsidRPr="00CB684C">
        <w:rPr>
          <w:i/>
          <w:iCs/>
        </w:rPr>
        <w:t>Fiscal</w:t>
      </w:r>
      <w:proofErr w:type="spellEnd"/>
      <w:r w:rsidR="00CB684C" w:rsidRPr="00CB684C">
        <w:rPr>
          <w:i/>
          <w:iCs/>
        </w:rPr>
        <w:t xml:space="preserve"> General</w:t>
      </w:r>
      <w:r w:rsidR="00CB684C">
        <w:rPr>
          <w:i/>
          <w:iCs/>
        </w:rPr>
        <w:t xml:space="preserve"> </w:t>
      </w:r>
      <w:r w:rsidR="00CB684C">
        <w:t>gibi kendine özgü kurum ve makamlar getirmiştir.</w:t>
      </w:r>
    </w:p>
    <w:p w14:paraId="3F2755AD" w14:textId="16774BB2" w:rsidR="00D040E3" w:rsidRDefault="00D040E3" w:rsidP="00D040E3">
      <w:pPr>
        <w:jc w:val="both"/>
      </w:pPr>
      <w:r>
        <w:t>Bunlardan “Şeffaflık ve Toplumsal Denetim” erkinin organı</w:t>
      </w:r>
      <w:r w:rsidR="008E1534">
        <w:t xml:space="preserve"> özellikle yolsuzlukla, yozlaşmayla mücadele ve yurttaş katılımınım sağlamak anlamında “radikal demokrasi” arayışı açısından dikkat çekicidir.</w:t>
      </w:r>
      <w:r w:rsidR="008E1534">
        <w:rPr>
          <w:rStyle w:val="FootnoteReference"/>
        </w:rPr>
        <w:footnoteReference w:id="54"/>
      </w:r>
      <w:r w:rsidR="008E1534">
        <w:t xml:space="preserve"> Y</w:t>
      </w:r>
      <w:r>
        <w:t>edi asıl ve yedi yedek üyeden oluşan bir Konsey</w:t>
      </w:r>
      <w:r w:rsidR="008E1534">
        <w:t>, d</w:t>
      </w:r>
      <w:r w:rsidRPr="00D040E3">
        <w:t xml:space="preserve">emokratik </w:t>
      </w:r>
      <w:r w:rsidR="008E1534">
        <w:t>k</w:t>
      </w:r>
      <w:r w:rsidRPr="00D040E3">
        <w:t>itle örgütleri ve yurttaşların önerdiği adayların rekabetçi ve liyakat</w:t>
      </w:r>
      <w:r>
        <w:t>e</w:t>
      </w:r>
      <w:r w:rsidRPr="00D040E3">
        <w:t xml:space="preserve"> dayalı kamusal sınav süreçleriyle belirlenmesi</w:t>
      </w:r>
      <w:r>
        <w:t xml:space="preserve">, ayrıca Seçim Kurulu’nca yürütülecek bu süreçlerde yurttaş gözetiminin ve itirazların </w:t>
      </w:r>
      <w:r w:rsidRPr="00D040E3">
        <w:t>esas</w:t>
      </w:r>
      <w:r>
        <w:t xml:space="preserve"> olması öngörülmüştür. </w:t>
      </w:r>
    </w:p>
    <w:p w14:paraId="3BF98EEC" w14:textId="326FA660" w:rsidR="00117476" w:rsidRDefault="00653DD9" w:rsidP="00C95A17">
      <w:pPr>
        <w:jc w:val="both"/>
      </w:pPr>
      <w:r>
        <w:t xml:space="preserve">1999 tarihli </w:t>
      </w:r>
      <w:proofErr w:type="spellStart"/>
      <w:r>
        <w:t>Bolivarcı</w:t>
      </w:r>
      <w:proofErr w:type="spellEnd"/>
      <w:r>
        <w:t xml:space="preserve"> </w:t>
      </w:r>
      <w:r w:rsidR="00CB684C">
        <w:t xml:space="preserve">Venezuela Anayasası’nda da klasik erklerden ayrı olarak “seçim” ve “yurttaş” erkleri </w:t>
      </w:r>
      <w:r>
        <w:t>bulunur</w:t>
      </w:r>
      <w:r w:rsidR="00CB684C">
        <w:t>. Yurttaş erki</w:t>
      </w:r>
      <w:r>
        <w:t>nin,</w:t>
      </w:r>
      <w:r w:rsidR="00CB684C">
        <w:t xml:space="preserve"> </w:t>
      </w:r>
      <w:r w:rsidRPr="00653DD9">
        <w:rPr>
          <w:i/>
          <w:iCs/>
        </w:rPr>
        <w:t>ombudsman</w:t>
      </w:r>
      <w:r w:rsidR="00CB684C">
        <w:t xml:space="preserve"> olarak da bilinen “halk </w:t>
      </w:r>
      <w:proofErr w:type="spellStart"/>
      <w:r w:rsidR="00CB684C">
        <w:t>müdafii</w:t>
      </w:r>
      <w:proofErr w:type="spellEnd"/>
      <w:r w:rsidR="00CB684C">
        <w:t>”, denetçi,</w:t>
      </w:r>
      <w:r>
        <w:t xml:space="preserve"> bir tür başsavcı işlevi gören </w:t>
      </w:r>
      <w:proofErr w:type="spellStart"/>
      <w:r w:rsidRPr="00653DD9">
        <w:rPr>
          <w:i/>
          <w:iCs/>
        </w:rPr>
        <w:t>Fiscal</w:t>
      </w:r>
      <w:proofErr w:type="spellEnd"/>
      <w:r w:rsidRPr="00653DD9">
        <w:rPr>
          <w:i/>
          <w:iCs/>
        </w:rPr>
        <w:t xml:space="preserve"> General </w:t>
      </w:r>
      <w:r>
        <w:t>gibi ögelerden oluştuğu kabul edilmekte ve bunların hepsinin birden yönetimini “Cumhuriyetçi Etik Konseyi” yapmaktadır. Konseyin temel işlevi</w:t>
      </w:r>
      <w:r w:rsidR="009E2F99">
        <w:t xml:space="preserve">, </w:t>
      </w:r>
      <w:proofErr w:type="spellStart"/>
      <w:r w:rsidR="009E2F99" w:rsidRPr="009E2F99">
        <w:rPr>
          <w:i/>
          <w:iCs/>
        </w:rPr>
        <w:t>inter</w:t>
      </w:r>
      <w:proofErr w:type="spellEnd"/>
      <w:r w:rsidR="009E2F99" w:rsidRPr="009E2F99">
        <w:rPr>
          <w:i/>
          <w:iCs/>
        </w:rPr>
        <w:t xml:space="preserve"> </w:t>
      </w:r>
      <w:proofErr w:type="spellStart"/>
      <w:r w:rsidR="009E2F99" w:rsidRPr="009E2F99">
        <w:rPr>
          <w:i/>
          <w:iCs/>
        </w:rPr>
        <w:t>alia</w:t>
      </w:r>
      <w:proofErr w:type="spellEnd"/>
      <w:r w:rsidR="009E2F99">
        <w:t xml:space="preserve">, </w:t>
      </w:r>
      <w:r>
        <w:t xml:space="preserve">iktidarın, yozlaşma ve yolsuzluk biçiminde tezahür eden kötüye kullanımlarına karşı halk adına “uyanık bekçilik” </w:t>
      </w:r>
      <w:r w:rsidR="009E2F99">
        <w:t xml:space="preserve">görevini </w:t>
      </w:r>
      <w:r>
        <w:t xml:space="preserve">yerine getirmektir. </w:t>
      </w:r>
      <w:r w:rsidR="00117476">
        <w:t>K</w:t>
      </w:r>
      <w:r w:rsidR="00117476" w:rsidRPr="00117476">
        <w:t>amu</w:t>
      </w:r>
      <w:r w:rsidR="00117476">
        <w:t xml:space="preserve">sal </w:t>
      </w:r>
      <w:r w:rsidR="00117476" w:rsidRPr="00117476">
        <w:t xml:space="preserve">ve idari </w:t>
      </w:r>
      <w:r w:rsidR="00117476">
        <w:t xml:space="preserve">etikle uyumlu </w:t>
      </w:r>
      <w:proofErr w:type="gramStart"/>
      <w:r w:rsidR="00117476">
        <w:t xml:space="preserve">olmayan </w:t>
      </w:r>
      <w:r w:rsidR="00117476" w:rsidRPr="00117476">
        <w:t xml:space="preserve"> eylemleri</w:t>
      </w:r>
      <w:proofErr w:type="gramEnd"/>
      <w:r w:rsidR="00117476" w:rsidRPr="00117476">
        <w:t xml:space="preserve"> önlemek, soruşturmak ve cezalandırmakla </w:t>
      </w:r>
      <w:r w:rsidR="00117476">
        <w:t>görevli olan Konsey,</w:t>
      </w:r>
      <w:r w:rsidR="00117476" w:rsidRPr="00117476">
        <w:t xml:space="preserve"> Devletin tüm idari faaliyetlerinde kamu mallarının kullanımında sağlıklı yönetim ve hukuka uygunluk ilkesinin yerine getirilmesini ve uygulanmasını sağlamak ve eğitimin</w:t>
      </w:r>
      <w:r w:rsidR="00117476">
        <w:t xml:space="preserve">, </w:t>
      </w:r>
      <w:r w:rsidR="00117476">
        <w:lastRenderedPageBreak/>
        <w:t>dayanışma, özgürlük, demokrasi, emek ve toplumsal sorumluluk gibi değerlerle bezenmiş bir yurttaş yetiştirmeye yönelen bir eğitimi geliştirmek gibi ödevlerle donatılmıştır. Bu bakımdan raporlama, inceleme ve</w:t>
      </w:r>
      <w:r w:rsidR="00117476" w:rsidRPr="00117476">
        <w:t xml:space="preserve"> insan haklarına saygı ve </w:t>
      </w:r>
      <w:r w:rsidR="00117476">
        <w:t>medeni</w:t>
      </w:r>
      <w:r w:rsidR="00117476" w:rsidRPr="00117476">
        <w:t xml:space="preserve"> erdemler</w:t>
      </w:r>
      <w:r w:rsidR="00117476">
        <w:t xml:space="preserve">e uygun yurttaşlık eğitimi konularındaki yetkileri önem taşır. </w:t>
      </w:r>
      <w:r w:rsidR="00117476" w:rsidRPr="00117476">
        <w:t xml:space="preserve">Anayasa, Konsey'in yurttaşlık erki içindeki her organdan, toplumun farklı kesimlerinden katılımın gözeterek belirleyeceği üçer adaydan </w:t>
      </w:r>
      <w:r w:rsidR="00117476">
        <w:t>oluşturmasını ve Ulusal Meclis’in</w:t>
      </w:r>
      <w:r w:rsidR="00117476" w:rsidRPr="00117476">
        <w:t xml:space="preserve"> </w:t>
      </w:r>
      <w:r w:rsidR="00117476">
        <w:t xml:space="preserve">bu listeden seçim yapmasını öngörmüştür. </w:t>
      </w:r>
      <w:r w:rsidR="00117476" w:rsidRPr="00117476">
        <w:t xml:space="preserve"> İlginç olan ise bu seçimin </w:t>
      </w:r>
      <w:r w:rsidR="00117476">
        <w:t>otuz gün yapılamaması</w:t>
      </w:r>
      <w:r w:rsidR="00117476" w:rsidRPr="00117476">
        <w:t xml:space="preserve"> durumunda </w:t>
      </w:r>
      <w:r w:rsidR="00117476">
        <w:t xml:space="preserve">seçimin halk tarafından yapılmasının kurala bağlanmasıdır.  </w:t>
      </w:r>
      <w:r w:rsidR="00117476" w:rsidRPr="00117476">
        <w:t xml:space="preserve"> </w:t>
      </w:r>
    </w:p>
    <w:p w14:paraId="38BDA6A3" w14:textId="40A600BE" w:rsidR="00326BD6" w:rsidRDefault="00FE7873" w:rsidP="00326BD6">
      <w:pPr>
        <w:jc w:val="both"/>
      </w:pPr>
      <w:r>
        <w:t>Bu düzeyde olmasa da</w:t>
      </w:r>
      <w:r w:rsidR="00475A2F">
        <w:t xml:space="preserve"> </w:t>
      </w:r>
      <w:r>
        <w:t xml:space="preserve">bu türden kurumları özel olarak </w:t>
      </w:r>
      <w:r w:rsidR="00475A2F">
        <w:t>kategorize</w:t>
      </w:r>
      <w:r>
        <w:t xml:space="preserve"> eden ve yeni erkleri zımnen tanıyan örnekler de vardır. </w:t>
      </w:r>
      <w:r w:rsidR="00AF4E09">
        <w:t>GAC</w:t>
      </w:r>
      <w:r>
        <w:t xml:space="preserve"> Anayasası’nda erklerin sayısına dair belirleme yapılmasa da bu bildirinin konusunu oluşturan kurumların hepsi birden aynı madde altında “anayasal demokrasiyi </w:t>
      </w:r>
      <w:r w:rsidR="004D5BCD">
        <w:t>destekleyen</w:t>
      </w:r>
      <w:r>
        <w:t xml:space="preserve"> kurumlar” </w:t>
      </w:r>
      <w:r w:rsidR="00326BD6">
        <w:t>(</w:t>
      </w:r>
      <w:proofErr w:type="spellStart"/>
      <w:r w:rsidR="00326BD6">
        <w:t>md.</w:t>
      </w:r>
      <w:proofErr w:type="spellEnd"/>
      <w:r w:rsidR="00326BD6">
        <w:t xml:space="preserve"> 181-194) </w:t>
      </w:r>
      <w:r>
        <w:t>biçiminde nitelenmiştir.</w:t>
      </w:r>
      <w:r>
        <w:rPr>
          <w:rStyle w:val="FootnoteReference"/>
        </w:rPr>
        <w:footnoteReference w:id="55"/>
      </w:r>
      <w:r w:rsidR="00326BD6">
        <w:t xml:space="preserve"> </w:t>
      </w:r>
      <w:r w:rsidR="00AF4E09">
        <w:t>GAC</w:t>
      </w:r>
      <w:r w:rsidR="00326BD6">
        <w:t xml:space="preserve"> İnsan Hakları Komisyonu; Kültürel, Dini ve Dilsel Toplulukların Haklarının Teşviki ve Korunması Komisyonu; </w:t>
      </w:r>
      <w:r w:rsidR="008E1534">
        <w:t xml:space="preserve">Genel </w:t>
      </w:r>
      <w:proofErr w:type="gramStart"/>
      <w:r w:rsidR="008E1534">
        <w:t>Denetçi;</w:t>
      </w:r>
      <w:proofErr w:type="gramEnd"/>
      <w:r w:rsidR="008E1534">
        <w:t xml:space="preserve"> </w:t>
      </w:r>
      <w:r w:rsidR="00326BD6">
        <w:t xml:space="preserve">Toplumsal Cinsiyet Eşitliği </w:t>
      </w:r>
      <w:r w:rsidR="008E1534">
        <w:t>Komisyonu</w:t>
      </w:r>
      <w:r w:rsidR="00326BD6">
        <w:t xml:space="preserve"> </w:t>
      </w:r>
      <w:r w:rsidR="008E1534">
        <w:t>ve</w:t>
      </w:r>
      <w:r w:rsidR="00326BD6">
        <w:t xml:space="preserve"> Seçim Komisyonu gibi isimler alan bu kurumlar özgün bir kategoriyi oluşturur.</w:t>
      </w:r>
    </w:p>
    <w:p w14:paraId="5A918587" w14:textId="322A98FF" w:rsidR="002B7E0F" w:rsidRDefault="002B7E0F" w:rsidP="00326BD6">
      <w:pPr>
        <w:jc w:val="both"/>
      </w:pPr>
      <w:r w:rsidRPr="002B7E0F">
        <w:t>Anayasa'da bu erke ilişkin seçimlerde</w:t>
      </w:r>
      <w:r>
        <w:t>,</w:t>
      </w:r>
      <w:r w:rsidRPr="002B7E0F">
        <w:t xml:space="preserve"> toplumsal cinsiyet ve ırksal çeşitliliği yansıtılması ve %60 nisap kuralı</w:t>
      </w:r>
      <w:r>
        <w:t xml:space="preserve"> gibi uzlaşmayı zorlayıcı hükümlere yer </w:t>
      </w:r>
      <w:r w:rsidR="00955367">
        <w:t>verilmiş olması</w:t>
      </w:r>
      <w:r>
        <w:t xml:space="preserve"> </w:t>
      </w:r>
      <w:r w:rsidRPr="002B7E0F">
        <w:t>dikkat çeker.</w:t>
      </w:r>
    </w:p>
    <w:p w14:paraId="6DA6BFCF" w14:textId="4FB05083" w:rsidR="00653DD9" w:rsidRDefault="00653DD9" w:rsidP="00C95A17">
      <w:pPr>
        <w:jc w:val="both"/>
      </w:pPr>
      <w:r>
        <w:t xml:space="preserve">Bu çerçevede halkın uzun vadeli çıkarlarının gözetilmesi için para politikası, mali </w:t>
      </w:r>
      <w:r w:rsidR="00FE7873">
        <w:t>denetimler istatistiksel</w:t>
      </w:r>
      <w:r>
        <w:t xml:space="preserve"> çalışmalar yapan kurumların iktidar baskısından korunmasında özel bir hassasiyet ön plana çıkar.</w:t>
      </w:r>
      <w:r w:rsidR="00FE7873">
        <w:t xml:space="preserve"> Bu hassasiyetin yargısal olarak belirlendiği örnekler de vardır</w:t>
      </w:r>
      <w:r w:rsidR="00D040E3">
        <w:t>.</w:t>
      </w:r>
      <w:r>
        <w:rPr>
          <w:rStyle w:val="FootnoteReference"/>
        </w:rPr>
        <w:footnoteReference w:id="56"/>
      </w:r>
      <w:r>
        <w:t xml:space="preserve"> </w:t>
      </w:r>
    </w:p>
    <w:p w14:paraId="4BA5C016" w14:textId="3C854619" w:rsidR="008F13F5" w:rsidRPr="008F13F5" w:rsidRDefault="001E7C09" w:rsidP="00653DD9">
      <w:pPr>
        <w:pStyle w:val="Heading2"/>
      </w:pPr>
      <w:bookmarkStart w:id="10" w:name="_Toc82898689"/>
      <w:r>
        <w:t>3. Uygulamada</w:t>
      </w:r>
      <w:bookmarkEnd w:id="10"/>
    </w:p>
    <w:p w14:paraId="51F6CF69" w14:textId="2C098F51" w:rsidR="00475A2F" w:rsidRDefault="00FE7873" w:rsidP="002E0984">
      <w:pPr>
        <w:jc w:val="both"/>
      </w:pPr>
      <w:r>
        <w:t xml:space="preserve">Bu kuram, kâğıt üzerinde oldukça etkili olsa da uygulamada ne iyi ne de kötü olarak tanımlanabilecek bir </w:t>
      </w:r>
      <w:proofErr w:type="spellStart"/>
      <w:r w:rsidR="00475A2F">
        <w:t>nötrallik</w:t>
      </w:r>
      <w:proofErr w:type="spellEnd"/>
      <w:r w:rsidR="00475A2F">
        <w:t xml:space="preserve"> içinde görünüyor. Fakat oldukça yeni ve etkililiği konusunda değerlendirme yapmak için henüz erken sayabileceğimiz bu teorik açılımın </w:t>
      </w:r>
      <w:r w:rsidR="004D5BCD">
        <w:t>dikkate değer</w:t>
      </w:r>
      <w:r w:rsidR="00475A2F">
        <w:t xml:space="preserve"> ögelerini aktarmak anlamlı olabilir. Bu bağlamda en uygun örnek, Cumhuriyetçi geleneğin “erdem” vurgusuna kurumsal olarak en çok yaklaşan “yolsuzluk komisyonları” olabilir. </w:t>
      </w:r>
    </w:p>
    <w:p w14:paraId="64CD8A6F" w14:textId="1D7414D5" w:rsidR="00475A2F" w:rsidRDefault="00475A2F" w:rsidP="00475A2F">
      <w:pPr>
        <w:jc w:val="both"/>
      </w:pPr>
      <w:r>
        <w:t xml:space="preserve">Burada bir es verip şu notu düşmek gerekiyor sanıyorum. Yolsuzluk, </w:t>
      </w:r>
      <w:r w:rsidRPr="00941743">
        <w:t xml:space="preserve">artan sayıda ülke anayasalarında açık yolsuzlukla mücadele hükümlerine yer </w:t>
      </w:r>
      <w:r>
        <w:t>veriliyor</w:t>
      </w:r>
      <w:r w:rsidRPr="00941743">
        <w:t>. Bu yaklaşımın ilk örneklerinden bazıları Filipinler, Tayland, Singapur, Kenya ve Pakistan'dır.</w:t>
      </w:r>
      <w:r>
        <w:rPr>
          <w:rStyle w:val="FootnoteReference"/>
        </w:rPr>
        <w:footnoteReference w:id="57"/>
      </w:r>
      <w:r w:rsidRPr="00941743">
        <w:t xml:space="preserve"> Bununla birlikte, 2010'ların ortalarından bu yana, bu eğilim önemli ölçüde </w:t>
      </w:r>
      <w:r>
        <w:t>hızlanmış görünüyor</w:t>
      </w:r>
      <w:r w:rsidRPr="00941743">
        <w:t>.</w:t>
      </w:r>
    </w:p>
    <w:p w14:paraId="0A897AE9" w14:textId="2BE32730" w:rsidR="00475A2F" w:rsidRDefault="00475A2F" w:rsidP="00475A2F">
      <w:pPr>
        <w:jc w:val="both"/>
      </w:pPr>
      <w:r>
        <w:t>Yolsuzluğu ortadan kaldırmak gerektiğini Anayasa'nın başlangıç kısmında vurgulayan (</w:t>
      </w:r>
      <w:proofErr w:type="spellStart"/>
      <w:r>
        <w:t>örn</w:t>
      </w:r>
      <w:proofErr w:type="spellEnd"/>
      <w:r>
        <w:t>. 2018 Çad, 2018 Komorlar) bunu devletin ödevi kılan (</w:t>
      </w:r>
      <w:proofErr w:type="spellStart"/>
      <w:r>
        <w:t>Ekvador</w:t>
      </w:r>
      <w:proofErr w:type="spellEnd"/>
      <w:r>
        <w:t xml:space="preserve"> 2008, 1999 Nijerya 2019 Sudan anayasaları) veya açıkça yolsuzluk karşıtı anayasa hükümler getiren (1991 Burkina Faso, 2015 Dominik Cumhuriyeti, 2016 Fildişi Sahilleri, 1996 Gambiya, 1917 Meksika, 2014 Mısır, 2015 Nepal, 2010 Nijer, 1975 Papua Yeni Gine, 1963 Singapur, 1995 Uganda, 1991 Zambiya anayasalar vardır.  Bundan başka, yolsuzluğa açıkça gönderme yapmasa da genel olarak tüm yurttaşlara dürüst davranma yükümlülüğü yüklemek (2008 Butan, 2009 Bolivya, 2010 Madagaskar</w:t>
      </w:r>
      <w:r w:rsidR="008E1534">
        <w:t xml:space="preserve"> anayasaları</w:t>
      </w:r>
      <w:r>
        <w:t>) gibi dolaylı ifadelere yer vermek de bu konudaki hassasiyete vurgu amaçlı bir yöntemdir.  Türkiye</w:t>
      </w:r>
      <w:r w:rsidR="004D5BCD">
        <w:t>’</w:t>
      </w:r>
      <w:r>
        <w:t xml:space="preserve">nin de dahil olduğu çok sayıda ülkede </w:t>
      </w:r>
      <w:r w:rsidR="004D5BCD">
        <w:t>“</w:t>
      </w:r>
      <w:r>
        <w:t xml:space="preserve">bilgi edinme </w:t>
      </w:r>
      <w:proofErr w:type="spellStart"/>
      <w:r>
        <w:t>hakkı</w:t>
      </w:r>
      <w:r w:rsidR="004D5BCD">
        <w:t>”</w:t>
      </w:r>
      <w:r>
        <w:t>nın</w:t>
      </w:r>
      <w:proofErr w:type="spellEnd"/>
      <w:r>
        <w:t xml:space="preserve"> da aslında özü itibarıyla bu yolsuzluğa karşı şeffaf devlet amacına dönük olduğu açıktır. Fiji</w:t>
      </w:r>
      <w:r w:rsidR="008E1534">
        <w:t xml:space="preserve">, </w:t>
      </w:r>
      <w:proofErr w:type="spellStart"/>
      <w:r w:rsidR="008E1534">
        <w:t>Ekvador</w:t>
      </w:r>
      <w:proofErr w:type="spellEnd"/>
      <w:r w:rsidR="008E1534">
        <w:t xml:space="preserve"> ve </w:t>
      </w:r>
      <w:r>
        <w:t xml:space="preserve">İzlanda'da olduğu gibi </w:t>
      </w:r>
      <w:r w:rsidR="008E1534">
        <w:t xml:space="preserve">bilgi </w:t>
      </w:r>
      <w:r w:rsidR="00A61448">
        <w:t>uçuran</w:t>
      </w:r>
      <w:r w:rsidR="008E1534">
        <w:t xml:space="preserve"> (</w:t>
      </w:r>
      <w:proofErr w:type="spellStart"/>
      <w:r w:rsidRPr="00475A2F">
        <w:rPr>
          <w:i/>
          <w:iCs/>
        </w:rPr>
        <w:t>whistleblower</w:t>
      </w:r>
      <w:proofErr w:type="spellEnd"/>
      <w:r w:rsidR="008E1534">
        <w:rPr>
          <w:i/>
          <w:iCs/>
        </w:rPr>
        <w:t>)</w:t>
      </w:r>
      <w:r>
        <w:t xml:space="preserve"> </w:t>
      </w:r>
      <w:r w:rsidR="00A61448">
        <w:t xml:space="preserve">kişilerin </w:t>
      </w:r>
      <w:r>
        <w:t xml:space="preserve">korumasını anayasal düzeye taşımak veya kara para aklamaya karşı özel mekanizmalara yer vermek </w:t>
      </w:r>
      <w:r w:rsidR="008E1534">
        <w:t xml:space="preserve">de </w:t>
      </w:r>
      <w:r>
        <w:t>(Nijerya ve Tayland</w:t>
      </w:r>
      <w:r w:rsidR="008E1534">
        <w:t xml:space="preserve"> anayasaları</w:t>
      </w:r>
      <w:r>
        <w:t xml:space="preserve">) mümkündür. </w:t>
      </w:r>
    </w:p>
    <w:p w14:paraId="0E723DA5" w14:textId="273C3A51" w:rsidR="006753E7" w:rsidRDefault="00475A2F" w:rsidP="002E0984">
      <w:pPr>
        <w:jc w:val="both"/>
      </w:pPr>
      <w:r>
        <w:lastRenderedPageBreak/>
        <w:t xml:space="preserve">Bu tür örnekler içinde özellikle önem taşıyan ve Türkiye açısından dikkate değer örnek ise </w:t>
      </w:r>
      <w:r w:rsidR="00AF4E09">
        <w:t>GAC</w:t>
      </w:r>
      <w:r>
        <w:t xml:space="preserve"> bağlamında ortaya çıkmıştır.</w:t>
      </w:r>
      <w:r w:rsidR="00326BD6">
        <w:t xml:space="preserve"> Güney Afrika örneği önemlidir çünkü bu ülkede eski ırkçı rejimden yeni rejime geçişte anayasal demokrasiyi destekleyecek bağımsız kurumlara bir işlev yüklenmiştir. BM 2020 Sürdürülebilir Kalkınma Hedeflerine dönük</w:t>
      </w:r>
      <w:r w:rsidR="004D5BCD">
        <w:t xml:space="preserve"> başlıkları dikkate alarak tasarlanmış</w:t>
      </w:r>
      <w:r w:rsidR="00326BD6">
        <w:t xml:space="preserve"> gibi görünen bu kurumlar</w:t>
      </w:r>
      <w:r w:rsidR="006753E7">
        <w:t xml:space="preserve"> ilham verici olmanın yanı sıra çok önemli bir karara da </w:t>
      </w:r>
      <w:r w:rsidR="004D5BCD">
        <w:t>temel oluşturmuştur</w:t>
      </w:r>
      <w:r w:rsidR="006753E7">
        <w:t>.</w:t>
      </w:r>
    </w:p>
    <w:p w14:paraId="04A9316D" w14:textId="38595538" w:rsidR="007C7E8A" w:rsidRDefault="006753E7" w:rsidP="006753E7">
      <w:pPr>
        <w:jc w:val="both"/>
      </w:pPr>
      <w:r>
        <w:t>Güney Afrika’da ırkçı rejim (</w:t>
      </w:r>
      <w:proofErr w:type="spellStart"/>
      <w:r w:rsidR="004D5BCD" w:rsidRPr="004D5BCD">
        <w:rPr>
          <w:i/>
          <w:iCs/>
        </w:rPr>
        <w:t>Apartheid</w:t>
      </w:r>
      <w:proofErr w:type="spellEnd"/>
      <w:r>
        <w:t>) sonrasında hâkim parti görünümündeki Afrika Ulusal Kongresi (ANC), Nelson Mandela’nın ölümünden sonra ikiye bölün</w:t>
      </w:r>
      <w:r w:rsidR="004D5BCD">
        <w:t xml:space="preserve">müş </w:t>
      </w:r>
      <w:r>
        <w:t>ve hizipler arası çatışmalar aynı zamanda bazı yolsuzluk tartışmalarını gündeme getirmişti. Ülkede normal şartlarda Adalet Bakanlığına bağlı soruşturma makamları olsa da 1999’da Özel Operasyon Başkanlığı (“Akrepler” diye bilinen) isimli bir birim kurulmuştu.</w:t>
      </w:r>
      <w:r>
        <w:rPr>
          <w:rStyle w:val="FootnoteReference"/>
        </w:rPr>
        <w:footnoteReference w:id="58"/>
      </w:r>
      <w:r>
        <w:t xml:space="preserve"> Bu birim, özellikle askeri modernizasyon süreçlerinde bazı yetkililerle ilgili rüşvet iddialarına karşı etkinlik gösterdi. Bu etkinlik</w:t>
      </w:r>
      <w:r w:rsidR="00923AF2">
        <w:t xml:space="preserve">, </w:t>
      </w:r>
      <w:r>
        <w:t>hiziplerden birinin</w:t>
      </w:r>
      <w:r>
        <w:rPr>
          <w:rStyle w:val="FootnoteReference"/>
        </w:rPr>
        <w:footnoteReference w:id="59"/>
      </w:r>
      <w:r>
        <w:t xml:space="preserve"> de aleyhine çalıştı. Bu gelişme sonrasında söz konusu birimin ortadan kaldırılması ve yetkilerinin Adalet Bakanı bünyesindeki (“</w:t>
      </w:r>
      <w:r w:rsidR="004E63A0">
        <w:t>Şahinler</w:t>
      </w:r>
      <w:r>
        <w:t>” diye bilinen) olağan soruşturma birimine aktarılması konusunda bir değişikliğe gidildi. Bu değişiklik</w:t>
      </w:r>
      <w:r w:rsidR="00923AF2">
        <w:t>,</w:t>
      </w:r>
      <w:r>
        <w:t xml:space="preserve"> Anayasa Mahkemesinin önüne taşındığında ise Mahkemenin verdiği iptal kararı, konumuz açısından oldukça önemliydi.</w:t>
      </w:r>
      <w:r>
        <w:rPr>
          <w:rStyle w:val="FootnoteReference"/>
        </w:rPr>
        <w:footnoteReference w:id="60"/>
      </w:r>
      <w:r w:rsidR="007C7E8A">
        <w:t xml:space="preserve"> Zira konu yolsuzlukları soruşturan komisyonların bağımsızlığıydı. </w:t>
      </w:r>
    </w:p>
    <w:p w14:paraId="79EA7059" w14:textId="4C95FA6F" w:rsidR="007C7E8A" w:rsidRDefault="007C7E8A" w:rsidP="007C7E8A">
      <w:pPr>
        <w:jc w:val="both"/>
      </w:pPr>
      <w:r w:rsidRPr="007C7E8A">
        <w:rPr>
          <w:b/>
          <w:bCs/>
          <w:i/>
          <w:iCs/>
        </w:rPr>
        <w:t>Birincisi</w:t>
      </w:r>
      <w:r>
        <w:t>; Mahkeme, bu kararda her ne kadar yolsuzluk komisyonu Anayasa’da açıkça düzenlemese de onu “Demokrasi Kurumları” ile ilişkilendirdi, bağımsız bir soruşturma komisyonunun kurulmasının anayasal bir zorunluluk olduğu sonucuna ulaştı. Mahkemeye göre yasa, bu kurumların açıkça altını oy</w:t>
      </w:r>
      <w:r w:rsidR="0037142B">
        <w:t>maktadır.</w:t>
      </w:r>
    </w:p>
    <w:p w14:paraId="1CB65486" w14:textId="30B55954" w:rsidR="007C7E8A" w:rsidRDefault="007C7E8A" w:rsidP="006753E7">
      <w:pPr>
        <w:jc w:val="both"/>
      </w:pPr>
      <w:r w:rsidRPr="007C7E8A">
        <w:rPr>
          <w:b/>
          <w:bCs/>
          <w:i/>
          <w:iCs/>
        </w:rPr>
        <w:t>İkincisi</w:t>
      </w:r>
      <w:r>
        <w:t xml:space="preserve">; Mahkeme, üst düzey soruşturma yürütecek birimlerin, sadece yapılarının değil aynı </w:t>
      </w:r>
      <w:r w:rsidR="00A61448">
        <w:t>zamanda “</w:t>
      </w:r>
      <w:proofErr w:type="spellStart"/>
      <w:r>
        <w:t>operasyonel</w:t>
      </w:r>
      <w:proofErr w:type="spellEnd"/>
      <w:r>
        <w:t xml:space="preserve"> </w:t>
      </w:r>
      <w:proofErr w:type="spellStart"/>
      <w:r>
        <w:t>özerkliği”nin</w:t>
      </w:r>
      <w:proofErr w:type="spellEnd"/>
      <w:r>
        <w:t xml:space="preserve"> de incelenmesi gerektiğini söyledi. Bu bağlamda sadece fiili bağımsızlığın değil, en az onun kadar önemli olan şeyin bağımsızlık görüntüsü olduğunu vurguladı. Bu büyük olasılıkla Mahkeme’nin, söz konusu değişikliğe dair kamuoyunda oluşan siyasi müdahale algısına bir yanıttı.  </w:t>
      </w:r>
    </w:p>
    <w:p w14:paraId="5EFE6A99" w14:textId="70CDF604" w:rsidR="007C7E8A" w:rsidRDefault="007C7E8A" w:rsidP="006753E7">
      <w:pPr>
        <w:jc w:val="both"/>
      </w:pPr>
      <w:r w:rsidRPr="007C7E8A">
        <w:rPr>
          <w:b/>
          <w:bCs/>
          <w:i/>
          <w:iCs/>
        </w:rPr>
        <w:t>Üçüncüsü</w:t>
      </w:r>
      <w:r>
        <w:t xml:space="preserve">; yapısal olarak bağımsızlığı zedeleyen iki kusur belirlendi. Öncelikle, bu soruşturmalarda görev alacak polislerin, görevden alınması, yer değişikliği veya kıdemlerinde gerileme olması gibi siyasi baskılara karşı özel olarak korunmalarını sağlayacak hiçbir hüküm yoktu. Öte yandan, birim </w:t>
      </w:r>
      <w:r w:rsidR="009B760B">
        <w:t>müdürünün</w:t>
      </w:r>
      <w:r>
        <w:t xml:space="preserve"> </w:t>
      </w:r>
      <w:r w:rsidR="009B760B">
        <w:t>bir daha</w:t>
      </w:r>
      <w:r>
        <w:t xml:space="preserve"> atanma</w:t>
      </w:r>
      <w:r w:rsidR="009B760B">
        <w:t xml:space="preserve"> olanağı, yeniden atanmak isteyecek müdürü siyasilerin eğilimlerine bağımlı kılma riski taşıyordu.  </w:t>
      </w:r>
    </w:p>
    <w:p w14:paraId="2863FBDA" w14:textId="306FEBA5" w:rsidR="009B760B" w:rsidRDefault="009B760B" w:rsidP="006753E7">
      <w:pPr>
        <w:jc w:val="both"/>
      </w:pPr>
      <w:r w:rsidRPr="009B760B">
        <w:rPr>
          <w:b/>
          <w:bCs/>
          <w:i/>
          <w:iCs/>
        </w:rPr>
        <w:t>Dördüncüsü</w:t>
      </w:r>
      <w:r>
        <w:t>;</w:t>
      </w:r>
      <w:r w:rsidR="00923AF2">
        <w:t xml:space="preserve"> </w:t>
      </w:r>
      <w:r w:rsidRPr="009B760B">
        <w:t xml:space="preserve">söz konusu birimin çalışmaları </w:t>
      </w:r>
      <w:r w:rsidR="00203832">
        <w:t>“</w:t>
      </w:r>
      <w:r w:rsidRPr="009B760B">
        <w:t>kabine komitesi</w:t>
      </w:r>
      <w:r w:rsidR="00203832">
        <w:t>”</w:t>
      </w:r>
      <w:r w:rsidRPr="009B760B">
        <w:t xml:space="preserve"> tarafından koordine etme biçimi da sorunlu bulundu. Çünkü bu, söz konusu birimi kimi siyasilere dokunacak "hassas" konularda </w:t>
      </w:r>
      <w:proofErr w:type="spellStart"/>
      <w:r w:rsidRPr="009B760B">
        <w:t>pasifize</w:t>
      </w:r>
      <w:proofErr w:type="spellEnd"/>
      <w:r w:rsidRPr="009B760B">
        <w:t xml:space="preserve"> etme veya tersten siyasal taciz amacıyla kullanma olasılıklarını arttırıyordu. Mahkeme, bu birimlerin parlamenter denetime tabi olması gerektiğini kabul etmekle birlikte mevcut denetimin fazlasıyla müdahaleye açık olduğunu söyledi.</w:t>
      </w:r>
      <w:r w:rsidR="00573D94">
        <w:rPr>
          <w:rStyle w:val="FootnoteReference"/>
        </w:rPr>
        <w:footnoteReference w:id="61"/>
      </w:r>
    </w:p>
    <w:p w14:paraId="1AEF3AA8" w14:textId="38FE62A6" w:rsidR="000E04AF" w:rsidRDefault="00573D94" w:rsidP="006753E7">
      <w:pPr>
        <w:jc w:val="both"/>
      </w:pPr>
      <w:r>
        <w:t xml:space="preserve">Bu bağlamda </w:t>
      </w:r>
      <w:r w:rsidR="00AF4E09">
        <w:t xml:space="preserve">GAC </w:t>
      </w:r>
      <w:r>
        <w:t xml:space="preserve">örneğindeki </w:t>
      </w:r>
      <w:r w:rsidR="004D5BCD">
        <w:t>b</w:t>
      </w:r>
      <w:r>
        <w:t xml:space="preserve">ir diğer ilginç </w:t>
      </w:r>
      <w:r w:rsidR="004D5BCD">
        <w:t>karar,</w:t>
      </w:r>
      <w:r>
        <w:t xml:space="preserve"> </w:t>
      </w:r>
      <w:r w:rsidR="004D5BCD">
        <w:t>“demokrasiyi destekleyen kurumlar” içinde sayılan “</w:t>
      </w:r>
      <w:proofErr w:type="spellStart"/>
      <w:r w:rsidR="004D5BCD" w:rsidRPr="000E04AF">
        <w:rPr>
          <w:i/>
          <w:iCs/>
        </w:rPr>
        <w:t>Public</w:t>
      </w:r>
      <w:proofErr w:type="spellEnd"/>
      <w:r w:rsidR="004D5BCD" w:rsidRPr="000E04AF">
        <w:rPr>
          <w:i/>
          <w:iCs/>
        </w:rPr>
        <w:t xml:space="preserve"> </w:t>
      </w:r>
      <w:proofErr w:type="spellStart"/>
      <w:r w:rsidR="004D5BCD" w:rsidRPr="000E04AF">
        <w:rPr>
          <w:i/>
          <w:iCs/>
        </w:rPr>
        <w:t>Protector</w:t>
      </w:r>
      <w:proofErr w:type="spellEnd"/>
      <w:r w:rsidR="004D5BCD">
        <w:t>” (Kamu Koruyucusu) tarafından yayımlanan bir kararla ilgili</w:t>
      </w:r>
      <w:r w:rsidR="000E04AF">
        <w:t>dir</w:t>
      </w:r>
      <w:r w:rsidR="004D5BCD">
        <w:t xml:space="preserve">. Güney Afrika Yayın Kurumu’nun başkanlığını yapan kişinin idari kusurlarıyla ilgili bu raporla ilgili kararda Mahkeme, </w:t>
      </w:r>
      <w:proofErr w:type="spellStart"/>
      <w:r w:rsidR="004D5BCD">
        <w:t>Kelsen’in</w:t>
      </w:r>
      <w:proofErr w:type="spellEnd"/>
      <w:r w:rsidR="004D5BCD">
        <w:t xml:space="preserve"> Anayasa Mahkemelerine ilişkin terminolojisinden esinlenerek bu kurumu “bekçilerin bekçisi” olarak ifade etmiştir. Büyük </w:t>
      </w:r>
      <w:r w:rsidR="004D5BCD">
        <w:lastRenderedPageBreak/>
        <w:t xml:space="preserve">ölçüde ombudsman gibi işlev gören bu kurumun rapor ve kararlarının bağlayıcılığı konusuna odaklanan Mahkeme, bunların mutlak bağlayıcı olmamakla birlikte “dikkate alınması zorunlu” nitelik taşıdığını vurgulamıştır. </w:t>
      </w:r>
      <w:r w:rsidR="000E04AF">
        <w:t xml:space="preserve">Bu türden </w:t>
      </w:r>
      <w:r w:rsidR="004D5BCD">
        <w:t>rapor</w:t>
      </w:r>
      <w:r w:rsidR="000E04AF">
        <w:t>ların ve tavsiyelerin makul bir gerekçe sunmaksızın dikkate alınmamasını kurumun demokrasiyi destekleme biçimindeki anayasal ödevinin açığa düşeceğini söylemiştir.</w:t>
      </w:r>
      <w:r w:rsidR="00AC3FAE">
        <w:rPr>
          <w:rStyle w:val="FootnoteReference"/>
        </w:rPr>
        <w:footnoteReference w:id="62"/>
      </w:r>
      <w:r w:rsidR="000E04AF">
        <w:t xml:space="preserve"> </w:t>
      </w:r>
    </w:p>
    <w:p w14:paraId="64040534" w14:textId="3830BFA9" w:rsidR="000E04AF" w:rsidRDefault="000E04AF" w:rsidP="000E04AF">
      <w:pPr>
        <w:jc w:val="both"/>
      </w:pPr>
      <w:r>
        <w:t>Bu yaklaşımı geliştiren bir diğer adım ise G</w:t>
      </w:r>
      <w:r w:rsidR="008424EA">
        <w:t xml:space="preserve">AC Anayasa </w:t>
      </w:r>
      <w:r>
        <w:t xml:space="preserve">Mahkemesinin 2016 yılında verdiği bir karardır. Karar, Başkan </w:t>
      </w:r>
      <w:proofErr w:type="spellStart"/>
      <w:r>
        <w:t>Zula’nın</w:t>
      </w:r>
      <w:proofErr w:type="spellEnd"/>
      <w:r>
        <w:t xml:space="preserve">, hakkındaki yolsuzluk iddialarından ötürü istifa etmesinden bir süre sonra yayımlanan bir raporla ilgilidir. Kamu </w:t>
      </w:r>
      <w:proofErr w:type="spellStart"/>
      <w:r>
        <w:t>Koruyucusu’nun</w:t>
      </w:r>
      <w:proofErr w:type="spellEnd"/>
      <w:r>
        <w:t xml:space="preserve"> raporuna dayanan Mahkeme, başkanın yolsuzluğa konu parayı iade etmekle yükümlü olduğu sonucuna ulaştı. Mahkeme, bu kararında söz konusu kurumun raporunu kararının gerekçesinde referans olarak kullanmakla kalmayıp </w:t>
      </w:r>
      <w:r w:rsidR="00EB0C8C">
        <w:t xml:space="preserve">Kamu </w:t>
      </w:r>
      <w:proofErr w:type="spellStart"/>
      <w:r w:rsidR="00EB0C8C">
        <w:t>Koruyucusu’nun</w:t>
      </w:r>
      <w:proofErr w:type="spellEnd"/>
      <w:r w:rsidR="00EB0C8C">
        <w:t xml:space="preserve"> çözüm önerilerinin</w:t>
      </w:r>
      <w:r w:rsidR="00EB0C8C">
        <w:rPr>
          <w:rStyle w:val="FootnoteReference"/>
        </w:rPr>
        <w:footnoteReference w:id="63"/>
      </w:r>
      <w:r w:rsidR="00EB0C8C">
        <w:t xml:space="preserve"> isteğe bağlı olmadığını, aksi bir düşüncenin bu kurumu etkisiz ve anlamsız hâle getireceğini söyledi. Bu bakımdan karar, Yüksek Mahkemenin yaklaşımını anayasa yargısı düzeyinde teyit etmiş oldu. Mahkemenin bu kararında, “</w:t>
      </w:r>
      <w:r w:rsidR="00EB0C8C" w:rsidRPr="00EB0C8C">
        <w:t>Devlet işlerinde veya hükümetin herhangi bir alanındaki kamu idaresinde, uygunsuz olduğu iddia edilen veya bundan şüphelenilen veya herhangi bir uygunsuzluğa veya önyargıya neden olan herhangi bir davranışı araştırmak</w:t>
      </w:r>
      <w:r w:rsidR="00EB0C8C">
        <w:t xml:space="preserve">, </w:t>
      </w:r>
      <w:r w:rsidR="00EB0C8C" w:rsidRPr="00EB0C8C">
        <w:t>bu davranış hakkında rapor vermek ve uygun düzeltici önlemi almak</w:t>
      </w:r>
      <w:r w:rsidR="00EB0C8C">
        <w:t>” yetkisine sahip  K</w:t>
      </w:r>
      <w:r w:rsidR="00EB0C8C" w:rsidRPr="00EB0C8C">
        <w:t xml:space="preserve">amu </w:t>
      </w:r>
      <w:proofErr w:type="spellStart"/>
      <w:r w:rsidR="00EB0C8C">
        <w:t>Koruyucusu’nun</w:t>
      </w:r>
      <w:proofErr w:type="spellEnd"/>
      <w:r w:rsidR="00EB0C8C" w:rsidRPr="00EB0C8C">
        <w:t xml:space="preserve"> tarafsız olması </w:t>
      </w:r>
      <w:r w:rsidR="00EB0C8C">
        <w:t xml:space="preserve">gerektiğini ve özellikle de siyasal iktidarla ilgili etkinliklerinde </w:t>
      </w:r>
      <w:r w:rsidR="00EB0C8C" w:rsidRPr="00EB0C8C">
        <w:t xml:space="preserve"> yetkilerini korkusuz veya lütuf </w:t>
      </w:r>
      <w:r w:rsidR="00EB0C8C">
        <w:t>gerektirmeden</w:t>
      </w:r>
      <w:r w:rsidR="00EB0C8C" w:rsidRPr="00EB0C8C">
        <w:t xml:space="preserve"> kullanması gerektiği</w:t>
      </w:r>
      <w:r w:rsidR="00EB0C8C">
        <w:t xml:space="preserve"> ve </w:t>
      </w:r>
      <w:r w:rsidR="00EB0C8C" w:rsidRPr="00EB0C8C">
        <w:t>diğer hükümet aktörlerinin kamu koruyucusuna yardım etme görevi olduğu</w:t>
      </w:r>
      <w:r w:rsidR="00EB0C8C">
        <w:t>nu söylemesi ayrıca önemliydi.</w:t>
      </w:r>
      <w:r>
        <w:rPr>
          <w:rStyle w:val="FootnoteReference"/>
        </w:rPr>
        <w:footnoteReference w:id="64"/>
      </w:r>
    </w:p>
    <w:p w14:paraId="54A6DE1E" w14:textId="77777777" w:rsidR="00AF4E09" w:rsidRDefault="00AF4E09" w:rsidP="00AF4E09">
      <w:pPr>
        <w:pStyle w:val="Heading1"/>
      </w:pPr>
      <w:bookmarkStart w:id="11" w:name="_Toc82898690"/>
      <w:r>
        <w:t>Sonuç</w:t>
      </w:r>
      <w:bookmarkEnd w:id="11"/>
    </w:p>
    <w:p w14:paraId="4D0DCD37" w14:textId="50AFEC1C" w:rsidR="00195A65" w:rsidRDefault="00D7110A" w:rsidP="00475A2F">
      <w:pPr>
        <w:jc w:val="both"/>
      </w:pPr>
      <w:r>
        <w:t>Her cumhuriyet yozlaşır, her devlet çöker. Anayasalar da bu gerçekten ayrı bir yerde durmaz. Bununla birlikte bunu geciktirmek mümkündür. Cumhuriyetçi bir perspektiften Anayasa’nın teminatı cumhuriyetçi erdem olabilir. Bu erdeme, kamusal eğitimle yurttaş bilincine erişmiş, örgütlü toplumla (kamuoyu rejimi) erişilebilir. Toplumun örgütlü, dinç ve uyanık güçleri yaygınlaştığı denli anayasal değerler vücut bulur.</w:t>
      </w:r>
      <w:r>
        <w:rPr>
          <w:rStyle w:val="FootnoteReference"/>
        </w:rPr>
        <w:footnoteReference w:id="65"/>
      </w:r>
      <w:r w:rsidR="00195A65">
        <w:t xml:space="preserve"> Fakat bunun gerçekleşmesi salt ulusal eğitimle sağlanamaz. Birer demokrasi hücresi olarak siyasal katılım araçları, diğer pek</w:t>
      </w:r>
      <w:r w:rsidR="00203832">
        <w:t xml:space="preserve"> </w:t>
      </w:r>
      <w:r w:rsidR="00195A65">
        <w:t xml:space="preserve">çok şeyin yanı sıra eylemli eğitim kanalları sağlar. Bu kanalların kurumlaşması ve aynı zamanda yerleşik hâle gelmiş siyasal erklerden ayrı bir güç olarak varlık göstermesi önemli bir çıkış noktası sağlayabilir. </w:t>
      </w:r>
    </w:p>
    <w:p w14:paraId="515118C9" w14:textId="4A8712E6" w:rsidR="00D7110A" w:rsidRDefault="00195A65" w:rsidP="00475A2F">
      <w:pPr>
        <w:jc w:val="both"/>
      </w:pPr>
      <w:r>
        <w:t xml:space="preserve">İşte dördüncü erkler teorisi, bir bakıma bu siyasal katılım ile anayasayı destekleyen bağımsız kurumlaşmayı sağlayacak türden bir arayışın ürünüdür. Bu arayış, diğer pek çok şeyin yanı sıra Anayasa Mahkemesi gibi kendisine anayasanın bekçiliği işlevi yüklenen bir kurumun siyasal basınç ve gerilimden kaynaklanan yükünü ve kararlarının sonuçlarından kaynaklanan sorumluluğunu başkaca kurumlarla da paylaşmasına neden olur. Dahası Anayasa Mahkemesinin düştüğü yerde onu ikame edici bir işlev de görür. </w:t>
      </w:r>
    </w:p>
    <w:p w14:paraId="4EB6C061" w14:textId="71600A89" w:rsidR="004200EA" w:rsidRDefault="00195A65" w:rsidP="00475A2F">
      <w:pPr>
        <w:jc w:val="both"/>
      </w:pPr>
      <w:r>
        <w:t>Böyle bakınca d</w:t>
      </w:r>
      <w:r w:rsidR="004200EA">
        <w:t>ördüncü erkler, sadece kâğıt üzerinde hem oluşum hem de işlev itibarıyla oldukça olumlu bir görüntü sunar. Ne var ki uygulama her zaman için farklıdır. Burada uygulamanın politik tezahürlerinin üstünde durmadı</w:t>
      </w:r>
      <w:r w:rsidR="00D7110A">
        <w:t>k</w:t>
      </w:r>
      <w:r w:rsidR="004200EA">
        <w:t xml:space="preserve"> ama şu</w:t>
      </w:r>
      <w:r>
        <w:t xml:space="preserve"> riski de</w:t>
      </w:r>
      <w:r w:rsidR="004200EA">
        <w:t xml:space="preserve"> sezgisel olarak </w:t>
      </w:r>
      <w:r>
        <w:t>kaydetmeliyiz:</w:t>
      </w:r>
      <w:r w:rsidR="004200EA">
        <w:t xml:space="preserve"> Yeni bir kurum, çoğu kez diğer kurumlarca sıcak karşılanmaz. Belli bir konuda, çok sayıda yetkiyle donatılmış yeni bir kurumun kendisini kamuoyuna ispatlamak için “aşırı” etkinlik göstermesi, geleneksel kalıpları hızla bozacağı için mevcut statükonun direnci ve </w:t>
      </w:r>
      <w:r w:rsidR="004200EA">
        <w:lastRenderedPageBreak/>
        <w:t>tepkisiyle karşılaşabilir. Bu direnç eğer hırsın hırsla dengelenmesi gibi sürecin önünü açıyor veya kamusal desteği sağlamak için farklı organlarda yeni açılımlara ve olumlu yönde bir rekabete kapı aralıyorsa anayasal amaçlar lehinedir. Ne var ki bu kurumların yüksek siyasete etki etmeye dönük potansiyelleri, bunları çeşitli bürokratlar için elverişli bir yükselme basamağı, siyasal özneler için ise önemli bir manipülasyon aracına dönüştürebilir. Bu manipülasyon,</w:t>
      </w:r>
      <w:r w:rsidR="00E8456A">
        <w:t xml:space="preserve"> (i)</w:t>
      </w:r>
      <w:r w:rsidR="004200EA">
        <w:t xml:space="preserve"> siyasi öznelerin kendi yapamadıklarını bağımsızlık-tarafsızlık görüntüsüne bürünerek </w:t>
      </w:r>
      <w:proofErr w:type="spellStart"/>
      <w:r w:rsidR="004200EA">
        <w:t>operasyonel</w:t>
      </w:r>
      <w:proofErr w:type="spellEnd"/>
      <w:r w:rsidR="004200EA">
        <w:t xml:space="preserve"> etkinlikleri yoluyla olabileceği gibi</w:t>
      </w:r>
      <w:r w:rsidR="00E8456A">
        <w:t xml:space="preserve">, (ii) </w:t>
      </w:r>
      <w:r w:rsidR="004200EA">
        <w:t>bu tür kurumları işlevsiz “arpalık” organlarına dönüşt</w:t>
      </w:r>
      <w:r>
        <w:t>ür</w:t>
      </w:r>
      <w:r w:rsidR="004200EA">
        <w:t xml:space="preserve">erek de gerçekleşebilir. Bu her iki durumda kurumlar varlık nedeniyle çelişecek ve yozlaşmayı pekiştirecektir. </w:t>
      </w:r>
    </w:p>
    <w:p w14:paraId="1BCECC84" w14:textId="77777777" w:rsidR="000A4362" w:rsidRDefault="004200EA" w:rsidP="000A4362">
      <w:pPr>
        <w:jc w:val="both"/>
      </w:pPr>
      <w:r>
        <w:t xml:space="preserve">Söz konusu riskleri </w:t>
      </w:r>
      <w:r w:rsidR="00E8456A">
        <w:t xml:space="preserve">veya olumlu olasılıkları </w:t>
      </w:r>
      <w:r>
        <w:t>akılda</w:t>
      </w:r>
      <w:r w:rsidR="00E8456A">
        <w:t xml:space="preserve"> tutmalıyız. Bununla birlikte uygulamada bunlardan hangisinin karşılık bulacağının toplumsal ve siyasal güçlere ve ülkedeki bilinç düzeyi ve dönüşüm beklentisine bağlı olduğunu da bilmeliyiz. Bu politik değişkenleri bir tarafa bıraktığımızda, söz konusu normatif belirlemelerin hukuksal yönden</w:t>
      </w:r>
      <w:r w:rsidR="000A4362">
        <w:t xml:space="preserve"> (</w:t>
      </w:r>
      <w:r w:rsidR="00E8456A">
        <w:t>ideal anlamda</w:t>
      </w:r>
      <w:r w:rsidR="000A4362">
        <w:t>)</w:t>
      </w:r>
      <w:r w:rsidR="00E8456A">
        <w:t xml:space="preserve"> olumlu olduğu açıktır.</w:t>
      </w:r>
    </w:p>
    <w:p w14:paraId="4D565FA1" w14:textId="26768875" w:rsidR="00B07B66" w:rsidRDefault="00E8456A" w:rsidP="00195A65">
      <w:pPr>
        <w:jc w:val="both"/>
      </w:pPr>
      <w:r>
        <w:t xml:space="preserve">Türkiye özelinde siyasi soruşturmalar ve etik sorunların değdiği her değen bu erkler, </w:t>
      </w:r>
      <w:r w:rsidR="00475A2F">
        <w:t xml:space="preserve">Merkez Bankası, Sayıştay, Türkiye İstatistik Kurumu gibi </w:t>
      </w:r>
      <w:r>
        <w:t xml:space="preserve">son yıllarda daha da tartışmalı hâle gelmiş kurumların </w:t>
      </w:r>
      <w:r w:rsidR="00475A2F">
        <w:t xml:space="preserve">çalışma alanlarıyla </w:t>
      </w:r>
      <w:r>
        <w:t xml:space="preserve">da kesişmektedir. Salt bu nedenle dahi takip edilmeyi ve üzerine düşünülmeyi hak </w:t>
      </w:r>
      <w:r w:rsidR="00195A65">
        <w:t>etmektedir.</w:t>
      </w:r>
    </w:p>
    <w:p w14:paraId="52494B34" w14:textId="77777777" w:rsidR="009E2F99" w:rsidRDefault="009E2F99" w:rsidP="00195A65">
      <w:pPr>
        <w:jc w:val="both"/>
      </w:pPr>
    </w:p>
    <w:p w14:paraId="3060FDCB" w14:textId="77777777" w:rsidR="009E2F99" w:rsidRPr="00195A65" w:rsidRDefault="009E2F99" w:rsidP="00195A65">
      <w:pPr>
        <w:jc w:val="both"/>
      </w:pPr>
    </w:p>
    <w:sectPr w:rsidR="009E2F99" w:rsidRPr="00195A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3BF2" w14:textId="77777777" w:rsidR="00F379EF" w:rsidRDefault="00F379EF" w:rsidP="00B01099">
      <w:pPr>
        <w:spacing w:after="0"/>
      </w:pPr>
      <w:r>
        <w:separator/>
      </w:r>
    </w:p>
  </w:endnote>
  <w:endnote w:type="continuationSeparator" w:id="0">
    <w:p w14:paraId="3EC422C5" w14:textId="77777777" w:rsidR="00F379EF" w:rsidRDefault="00F379EF" w:rsidP="00B010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5585713"/>
      <w:docPartObj>
        <w:docPartGallery w:val="Page Numbers (Bottom of Page)"/>
        <w:docPartUnique/>
      </w:docPartObj>
    </w:sdtPr>
    <w:sdtEndPr>
      <w:rPr>
        <w:rStyle w:val="PageNumber"/>
      </w:rPr>
    </w:sdtEndPr>
    <w:sdtContent>
      <w:p w14:paraId="52559FF8" w14:textId="671C9CF7" w:rsidR="00265925" w:rsidRDefault="00265925" w:rsidP="00C62D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49CD4B" w14:textId="77777777" w:rsidR="00265925" w:rsidRDefault="0026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4157434"/>
      <w:docPartObj>
        <w:docPartGallery w:val="Page Numbers (Bottom of Page)"/>
        <w:docPartUnique/>
      </w:docPartObj>
    </w:sdtPr>
    <w:sdtEndPr>
      <w:rPr>
        <w:rStyle w:val="PageNumber"/>
      </w:rPr>
    </w:sdtEndPr>
    <w:sdtContent>
      <w:p w14:paraId="399DFB7C" w14:textId="58917C39" w:rsidR="00265925" w:rsidRDefault="00265925" w:rsidP="00C62D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F2E092" w14:textId="77777777" w:rsidR="00265925" w:rsidRDefault="0026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CD73" w14:textId="77777777" w:rsidR="00F379EF" w:rsidRDefault="00F379EF" w:rsidP="00B01099">
      <w:pPr>
        <w:spacing w:after="0"/>
      </w:pPr>
      <w:r>
        <w:separator/>
      </w:r>
    </w:p>
  </w:footnote>
  <w:footnote w:type="continuationSeparator" w:id="0">
    <w:p w14:paraId="428D64D9" w14:textId="77777777" w:rsidR="00F379EF" w:rsidRDefault="00F379EF" w:rsidP="00B01099">
      <w:pPr>
        <w:spacing w:after="0"/>
      </w:pPr>
      <w:r>
        <w:continuationSeparator/>
      </w:r>
    </w:p>
  </w:footnote>
  <w:footnote w:id="1">
    <w:p w14:paraId="0517C4ED" w14:textId="4B7E70CB" w:rsidR="00AF4E09" w:rsidRPr="00AC3FAE" w:rsidRDefault="00AF4E09" w:rsidP="001D4667">
      <w:pPr>
        <w:pStyle w:val="FootnoteText"/>
        <w:jc w:val="both"/>
      </w:pPr>
      <w:r w:rsidRPr="00AC3FAE">
        <w:rPr>
          <w:rStyle w:val="FootnoteReference"/>
        </w:rPr>
        <w:footnoteRef/>
      </w:r>
      <w:r w:rsidRPr="00AC3FAE">
        <w:t xml:space="preserve"> </w:t>
      </w:r>
      <w:r w:rsidR="00AC3FAE">
        <w:t xml:space="preserve">Meseleye dikkatimi çeken Özen Ülgen’e </w:t>
      </w:r>
      <w:r w:rsidR="000833C1">
        <w:t xml:space="preserve">metindeki katkıları için de </w:t>
      </w:r>
      <w:r w:rsidR="00AC3FAE">
        <w:t>teşekkür ederim.</w:t>
      </w:r>
      <w:r w:rsidR="000833C1">
        <w:t xml:space="preserve"> Bir teşekkür de metni okuma ve öneri geliştirme zahmeti gösteren değerli Seda Özkan’a.</w:t>
      </w:r>
    </w:p>
  </w:footnote>
  <w:footnote w:id="2">
    <w:p w14:paraId="448A7CB0" w14:textId="41358F8F" w:rsidR="00AC3FAE" w:rsidRPr="00AC3FAE" w:rsidRDefault="00AC3FAE" w:rsidP="00AC3FAE">
      <w:pPr>
        <w:pStyle w:val="FootnoteText"/>
        <w:jc w:val="both"/>
      </w:pPr>
      <w:r w:rsidRPr="00AC3FAE">
        <w:rPr>
          <w:rStyle w:val="FootnoteReference"/>
        </w:rPr>
        <w:footnoteRef/>
      </w:r>
      <w:r w:rsidRPr="00AC3FAE">
        <w:t xml:space="preserve"> </w:t>
      </w:r>
      <w:proofErr w:type="spellStart"/>
      <w:r w:rsidRPr="00AC3FAE">
        <w:t>Hamlet’te</w:t>
      </w:r>
      <w:proofErr w:type="spellEnd"/>
      <w:r w:rsidRPr="00AC3FAE">
        <w:t xml:space="preserve"> birinci perdenin dördüncü sahnesinde Subay </w:t>
      </w:r>
      <w:proofErr w:type="spellStart"/>
      <w:r w:rsidRPr="00AC3FAE">
        <w:t>Marcellus’ın</w:t>
      </w:r>
      <w:proofErr w:type="spellEnd"/>
      <w:r w:rsidRPr="00AC3FAE">
        <w:t xml:space="preserve"> </w:t>
      </w:r>
      <w:proofErr w:type="spellStart"/>
      <w:r w:rsidRPr="00AC3FAE">
        <w:t>Hamlet’in</w:t>
      </w:r>
      <w:proofErr w:type="spellEnd"/>
      <w:r w:rsidRPr="00AC3FAE">
        <w:t xml:space="preserve"> eski dostu </w:t>
      </w:r>
      <w:proofErr w:type="spellStart"/>
      <w:r w:rsidRPr="00AC3FAE">
        <w:t>Horatio’ya</w:t>
      </w:r>
      <w:proofErr w:type="spellEnd"/>
      <w:r w:rsidRPr="00AC3FAE">
        <w:t xml:space="preserve"> söylediği bu ünlü söz, tarihin Aydınlanma uğrağında eski rejimin şatolarının ve saraylarının, içindekilerle birlikte çürüyüşüne ve gelmekte olan modern kurumların </w:t>
      </w:r>
      <w:proofErr w:type="spellStart"/>
      <w:r w:rsidRPr="00AC3FAE">
        <w:t>yadsınamazlığına</w:t>
      </w:r>
      <w:proofErr w:type="spellEnd"/>
      <w:r w:rsidRPr="00AC3FAE">
        <w:t xml:space="preserve"> da bir göndermeydi. Bugünün Türkiye’sinde (ister sarayda ister şatolarda) böylesi bir çürüme fazlasıyla geçerli. William Sh</w:t>
      </w:r>
      <w:r w:rsidR="00112A54">
        <w:t>a</w:t>
      </w:r>
      <w:r w:rsidRPr="00AC3FAE">
        <w:t>k</w:t>
      </w:r>
      <w:r w:rsidR="00112A54">
        <w:t>e</w:t>
      </w:r>
      <w:r w:rsidRPr="00AC3FAE">
        <w:t xml:space="preserve">speare, </w:t>
      </w:r>
      <w:r w:rsidRPr="00AC3FAE">
        <w:rPr>
          <w:i/>
          <w:iCs/>
        </w:rPr>
        <w:t>Hamlet</w:t>
      </w:r>
      <w:r w:rsidRPr="00AC3FAE">
        <w:t>, Sabahattin Eyüboğlu (çev.), (Türkiye İş Bankası 2020), s. 28.</w:t>
      </w:r>
    </w:p>
  </w:footnote>
  <w:footnote w:id="3">
    <w:p w14:paraId="24314B7B" w14:textId="63419CB8" w:rsidR="005F4C2B" w:rsidRPr="00AC3FAE" w:rsidRDefault="00B01099" w:rsidP="001D4667">
      <w:pPr>
        <w:pStyle w:val="FootnoteText"/>
        <w:jc w:val="both"/>
      </w:pPr>
      <w:r w:rsidRPr="00AC3FAE">
        <w:rPr>
          <w:rStyle w:val="FootnoteReference"/>
        </w:rPr>
        <w:footnoteRef/>
      </w:r>
      <w:r w:rsidRPr="00AC3FAE">
        <w:t xml:space="preserve"> </w:t>
      </w:r>
      <w:r w:rsidR="005F4C2B" w:rsidRPr="00AC3FAE">
        <w:t xml:space="preserve">Carl </w:t>
      </w:r>
      <w:proofErr w:type="spellStart"/>
      <w:r w:rsidR="005F4C2B" w:rsidRPr="00AC3FAE">
        <w:t>Schmitt</w:t>
      </w:r>
      <w:proofErr w:type="spellEnd"/>
      <w:r w:rsidR="005F4C2B" w:rsidRPr="00AC3FAE">
        <w:t xml:space="preserve">, </w:t>
      </w:r>
      <w:proofErr w:type="spellStart"/>
      <w:r w:rsidR="005F4C2B" w:rsidRPr="00AC3FAE">
        <w:rPr>
          <w:i/>
          <w:iCs/>
        </w:rPr>
        <w:t>Verfassungslehre</w:t>
      </w:r>
      <w:proofErr w:type="spellEnd"/>
      <w:r w:rsidR="005F4C2B" w:rsidRPr="00AC3FAE">
        <w:t>, (</w:t>
      </w:r>
      <w:proofErr w:type="spellStart"/>
      <w:r w:rsidR="005F4C2B" w:rsidRPr="00AC3FAE">
        <w:t>Duncker&amp;Humblot</w:t>
      </w:r>
      <w:proofErr w:type="spellEnd"/>
      <w:r w:rsidR="005F4C2B" w:rsidRPr="00AC3FAE">
        <w:t>, 1954).</w:t>
      </w:r>
    </w:p>
  </w:footnote>
  <w:footnote w:id="4">
    <w:p w14:paraId="24E48434" w14:textId="72BBB5AB" w:rsidR="00B01099" w:rsidRPr="00AC3FAE" w:rsidRDefault="00B01099" w:rsidP="001D4667">
      <w:pPr>
        <w:pStyle w:val="FootnoteText"/>
        <w:jc w:val="both"/>
      </w:pPr>
      <w:r w:rsidRPr="00AC3FAE">
        <w:rPr>
          <w:rStyle w:val="FootnoteReference"/>
        </w:rPr>
        <w:footnoteRef/>
      </w:r>
      <w:r w:rsidRPr="00AC3FAE">
        <w:t xml:space="preserve"> Ergun Özbudun, </w:t>
      </w:r>
      <w:r w:rsidRPr="00AC3FAE">
        <w:rPr>
          <w:i/>
          <w:iCs/>
        </w:rPr>
        <w:t>Türkiye’nin Anayasa Krizi</w:t>
      </w:r>
      <w:r w:rsidRPr="00AC3FAE">
        <w:t xml:space="preserve">, </w:t>
      </w:r>
      <w:r w:rsidR="005F4C2B" w:rsidRPr="00AC3FAE">
        <w:t>(</w:t>
      </w:r>
      <w:proofErr w:type="spellStart"/>
      <w:r w:rsidR="005F4C2B" w:rsidRPr="00AC3FAE">
        <w:t>Liberte</w:t>
      </w:r>
      <w:proofErr w:type="spellEnd"/>
      <w:r w:rsidR="005F4C2B" w:rsidRPr="00AC3FAE">
        <w:t>, 2009).</w:t>
      </w:r>
    </w:p>
  </w:footnote>
  <w:footnote w:id="5">
    <w:p w14:paraId="6DB0834C" w14:textId="5D17EBB6" w:rsidR="00B01099" w:rsidRPr="00AC3FAE" w:rsidRDefault="00B01099" w:rsidP="001D4667">
      <w:pPr>
        <w:pStyle w:val="FootnoteText"/>
        <w:jc w:val="both"/>
      </w:pPr>
      <w:r w:rsidRPr="00AC3FAE">
        <w:rPr>
          <w:rStyle w:val="FootnoteReference"/>
        </w:rPr>
        <w:footnoteRef/>
      </w:r>
      <w:r w:rsidRPr="00AC3FAE">
        <w:t xml:space="preserve"> </w:t>
      </w:r>
      <w:proofErr w:type="spellStart"/>
      <w:r w:rsidRPr="00AC3FAE">
        <w:t>Örn</w:t>
      </w:r>
      <w:proofErr w:type="spellEnd"/>
      <w:r w:rsidRPr="00AC3FAE">
        <w:t xml:space="preserve">. SETA çevresinde bkz. Ali Aslan, "Anayasa Krizi Nasıl Aşılacak?", </w:t>
      </w:r>
      <w:r w:rsidRPr="00AC3FAE">
        <w:rPr>
          <w:i/>
          <w:iCs/>
        </w:rPr>
        <w:t>SETA</w:t>
      </w:r>
      <w:r w:rsidRPr="00AC3FAE">
        <w:t xml:space="preserve">, 02/01/2016. </w:t>
      </w:r>
      <w:hyperlink r:id="rId1" w:history="1">
        <w:r w:rsidRPr="00AC3FAE">
          <w:rPr>
            <w:rStyle w:val="Hyperlink"/>
          </w:rPr>
          <w:t>http://setav.org/anayasa-krizi-nasil-asilacak/</w:t>
        </w:r>
      </w:hyperlink>
      <w:r w:rsidRPr="00AC3FAE">
        <w:t xml:space="preserve"> </w:t>
      </w:r>
    </w:p>
  </w:footnote>
  <w:footnote w:id="6">
    <w:p w14:paraId="27A9F498" w14:textId="3ED140A2" w:rsidR="00B01099" w:rsidRPr="00AC3FAE" w:rsidRDefault="00B01099" w:rsidP="001D4667">
      <w:pPr>
        <w:pStyle w:val="FootnoteText"/>
        <w:jc w:val="both"/>
      </w:pPr>
      <w:r w:rsidRPr="00AC3FAE">
        <w:rPr>
          <w:rStyle w:val="FootnoteReference"/>
        </w:rPr>
        <w:footnoteRef/>
      </w:r>
      <w:r w:rsidRPr="00AC3FAE">
        <w:t xml:space="preserve"> Anayasa’nın işlevleri konusunda özellikle Almanca literatürde </w:t>
      </w:r>
      <w:r w:rsidR="00195A65" w:rsidRPr="00AC3FAE">
        <w:t>7</w:t>
      </w:r>
      <w:r w:rsidRPr="00AC3FAE">
        <w:t xml:space="preserve"> işlev sayılır. Bunlar</w:t>
      </w:r>
      <w:r w:rsidR="00195A65" w:rsidRPr="00AC3FAE">
        <w:t xml:space="preserve">, </w:t>
      </w:r>
      <w:r w:rsidR="009A1CCC" w:rsidRPr="00AC3FAE">
        <w:t>kurma</w:t>
      </w:r>
      <w:r w:rsidR="00195A65" w:rsidRPr="00AC3FAE">
        <w:t xml:space="preserve"> </w:t>
      </w:r>
      <w:r w:rsidR="009A1CCC" w:rsidRPr="00AC3FAE">
        <w:t>işlevi,</w:t>
      </w:r>
      <w:r w:rsidR="00195A65" w:rsidRPr="00AC3FAE">
        <w:t xml:space="preserve"> </w:t>
      </w:r>
      <w:r w:rsidR="009A1CCC" w:rsidRPr="00AC3FAE">
        <w:t>siyasal</w:t>
      </w:r>
      <w:r w:rsidR="00195A65" w:rsidRPr="00AC3FAE">
        <w:t xml:space="preserve"> </w:t>
      </w:r>
      <w:r w:rsidR="009A1CCC" w:rsidRPr="00AC3FAE">
        <w:t>iktidarı</w:t>
      </w:r>
      <w:r w:rsidR="00195A65" w:rsidRPr="00AC3FAE">
        <w:t xml:space="preserve"> </w:t>
      </w:r>
      <w:r w:rsidR="009A1CCC" w:rsidRPr="00AC3FAE">
        <w:t>örgütleme</w:t>
      </w:r>
      <w:r w:rsidR="00195A65" w:rsidRPr="00AC3FAE">
        <w:t xml:space="preserve"> </w:t>
      </w:r>
      <w:r w:rsidR="009A1CCC" w:rsidRPr="00AC3FAE">
        <w:t>işlevi,</w:t>
      </w:r>
      <w:r w:rsidR="00195A65" w:rsidRPr="00AC3FAE">
        <w:t xml:space="preserve"> </w:t>
      </w:r>
      <w:r w:rsidR="009A1CCC" w:rsidRPr="00AC3FAE">
        <w:t>iktidarı</w:t>
      </w:r>
      <w:r w:rsidR="00195A65" w:rsidRPr="00AC3FAE">
        <w:t xml:space="preserve"> </w:t>
      </w:r>
      <w:r w:rsidR="009A1CCC" w:rsidRPr="00AC3FAE">
        <w:t>sınırlandırma işlevi, b</w:t>
      </w:r>
      <w:r w:rsidR="00195A65" w:rsidRPr="00AC3FAE">
        <w:t xml:space="preserve">ütünleştirme </w:t>
      </w:r>
      <w:r w:rsidR="009A1CCC" w:rsidRPr="00AC3FAE">
        <w:t>i</w:t>
      </w:r>
      <w:r w:rsidR="00195A65" w:rsidRPr="00AC3FAE">
        <w:t>şlevi</w:t>
      </w:r>
      <w:r w:rsidR="009A1CCC" w:rsidRPr="00AC3FAE">
        <w:t>, y</w:t>
      </w:r>
      <w:r w:rsidR="00195A65" w:rsidRPr="00AC3FAE">
        <w:t xml:space="preserve">önlendirme </w:t>
      </w:r>
      <w:r w:rsidR="006F449B">
        <w:t>i</w:t>
      </w:r>
      <w:r w:rsidR="00195A65" w:rsidRPr="00AC3FAE">
        <w:t>şlevi</w:t>
      </w:r>
      <w:r w:rsidR="009A1CCC" w:rsidRPr="00AC3FAE">
        <w:t>, is</w:t>
      </w:r>
      <w:r w:rsidR="00195A65" w:rsidRPr="00AC3FAE">
        <w:t xml:space="preserve">tikrar </w:t>
      </w:r>
      <w:r w:rsidR="009A1CCC" w:rsidRPr="00AC3FAE">
        <w:t>k</w:t>
      </w:r>
      <w:r w:rsidR="00195A65" w:rsidRPr="00AC3FAE">
        <w:t xml:space="preserve">azandırma </w:t>
      </w:r>
      <w:r w:rsidR="009A1CCC" w:rsidRPr="00AC3FAE">
        <w:t>i</w:t>
      </w:r>
      <w:r w:rsidR="00195A65" w:rsidRPr="00AC3FAE">
        <w:t>şlevi</w:t>
      </w:r>
      <w:r w:rsidR="009A1CCC" w:rsidRPr="00AC3FAE">
        <w:t>, m</w:t>
      </w:r>
      <w:r w:rsidR="00195A65" w:rsidRPr="00AC3FAE">
        <w:t xml:space="preserve">eşrulaştırma </w:t>
      </w:r>
      <w:r w:rsidR="009A1CCC" w:rsidRPr="00AC3FAE">
        <w:t>i</w:t>
      </w:r>
      <w:r w:rsidR="00195A65" w:rsidRPr="00AC3FAE">
        <w:t>şlevi</w:t>
      </w:r>
      <w:r w:rsidR="009A1CCC" w:rsidRPr="00AC3FAE">
        <w:t xml:space="preserve"> biçimindedir. Bkz. </w:t>
      </w:r>
      <w:proofErr w:type="gramStart"/>
      <w:r w:rsidR="009A1CCC" w:rsidRPr="00AC3FAE">
        <w:t>Martin</w:t>
      </w:r>
      <w:proofErr w:type="gramEnd"/>
      <w:r w:rsidR="009A1CCC" w:rsidRPr="00AC3FAE">
        <w:t xml:space="preserve"> </w:t>
      </w:r>
      <w:proofErr w:type="spellStart"/>
      <w:r w:rsidR="009A1CCC" w:rsidRPr="00AC3FAE">
        <w:t>Morlok</w:t>
      </w:r>
      <w:proofErr w:type="spellEnd"/>
      <w:r w:rsidR="009A1CCC" w:rsidRPr="00AC3FAE">
        <w:t xml:space="preserve"> ve </w:t>
      </w:r>
      <w:proofErr w:type="spellStart"/>
      <w:r w:rsidR="009A1CCC" w:rsidRPr="00AC3FAE">
        <w:t>Lothar</w:t>
      </w:r>
      <w:proofErr w:type="spellEnd"/>
      <w:r w:rsidR="009A1CCC" w:rsidRPr="00AC3FAE">
        <w:t xml:space="preserve"> Michael, </w:t>
      </w:r>
      <w:proofErr w:type="spellStart"/>
      <w:r w:rsidR="009A1CCC" w:rsidRPr="00AC3FAE">
        <w:rPr>
          <w:i/>
          <w:iCs/>
        </w:rPr>
        <w:t>Staatsorganisationsrecht</w:t>
      </w:r>
      <w:proofErr w:type="spellEnd"/>
      <w:r w:rsidR="009A1CCC" w:rsidRPr="00AC3FAE">
        <w:t>, (</w:t>
      </w:r>
      <w:proofErr w:type="spellStart"/>
      <w:r w:rsidR="009A1CCC" w:rsidRPr="00AC3FAE">
        <w:t>Nomos</w:t>
      </w:r>
      <w:proofErr w:type="spellEnd"/>
      <w:r w:rsidR="009A1CCC" w:rsidRPr="00AC3FAE">
        <w:t xml:space="preserve"> 2020).</w:t>
      </w:r>
    </w:p>
  </w:footnote>
  <w:footnote w:id="7">
    <w:p w14:paraId="3A2AFC50" w14:textId="7CA95EF7" w:rsidR="00B02F79" w:rsidRPr="00AC3FAE" w:rsidRDefault="00B02F79" w:rsidP="001D4667">
      <w:pPr>
        <w:pStyle w:val="FootnoteText"/>
        <w:jc w:val="both"/>
      </w:pPr>
      <w:r w:rsidRPr="00AC3FAE">
        <w:rPr>
          <w:rStyle w:val="FootnoteReference"/>
        </w:rPr>
        <w:footnoteRef/>
      </w:r>
      <w:r w:rsidRPr="00AC3FAE">
        <w:t xml:space="preserve"> Rusya</w:t>
      </w:r>
      <w:r w:rsidR="0084389E">
        <w:t>’da</w:t>
      </w:r>
      <w:r w:rsidRPr="00AC3FAE">
        <w:t xml:space="preserve"> 1993’te parlamento ile başkan </w:t>
      </w:r>
      <w:proofErr w:type="spellStart"/>
      <w:r w:rsidRPr="00AC3FAE">
        <w:t>Boris</w:t>
      </w:r>
      <w:proofErr w:type="spellEnd"/>
      <w:r w:rsidRPr="00AC3FAE">
        <w:t xml:space="preserve"> Yeltsin arasındaki çekişmenin girdiği açmaz ve sonunda ordunun müdahalesi de anayasal kriz olarak ifade ediliyor.</w:t>
      </w:r>
      <w:r w:rsidR="002022F1" w:rsidRPr="00AC3FAE">
        <w:t xml:space="preserve"> Olayların özeti için bkz. Hane </w:t>
      </w:r>
      <w:proofErr w:type="spellStart"/>
      <w:r w:rsidR="002022F1" w:rsidRPr="00AC3FAE">
        <w:t>Henderson</w:t>
      </w:r>
      <w:proofErr w:type="spellEnd"/>
      <w:r w:rsidR="002022F1" w:rsidRPr="00AC3FAE">
        <w:t xml:space="preserve">, </w:t>
      </w:r>
      <w:proofErr w:type="spellStart"/>
      <w:r w:rsidR="002022F1" w:rsidRPr="00AC3FAE">
        <w:rPr>
          <w:i/>
          <w:iCs/>
        </w:rPr>
        <w:t>The</w:t>
      </w:r>
      <w:proofErr w:type="spellEnd"/>
      <w:r w:rsidR="002022F1" w:rsidRPr="00AC3FAE">
        <w:rPr>
          <w:i/>
          <w:iCs/>
        </w:rPr>
        <w:t xml:space="preserve"> </w:t>
      </w:r>
      <w:proofErr w:type="spellStart"/>
      <w:r w:rsidR="002022F1" w:rsidRPr="00AC3FAE">
        <w:rPr>
          <w:i/>
          <w:iCs/>
        </w:rPr>
        <w:t>Constitution</w:t>
      </w:r>
      <w:proofErr w:type="spellEnd"/>
      <w:r w:rsidR="002022F1" w:rsidRPr="00AC3FAE">
        <w:rPr>
          <w:i/>
          <w:iCs/>
        </w:rPr>
        <w:t xml:space="preserve"> of </w:t>
      </w:r>
      <w:proofErr w:type="spellStart"/>
      <w:r w:rsidR="002022F1" w:rsidRPr="00AC3FAE">
        <w:rPr>
          <w:i/>
          <w:iCs/>
        </w:rPr>
        <w:t>the</w:t>
      </w:r>
      <w:proofErr w:type="spellEnd"/>
      <w:r w:rsidR="002022F1" w:rsidRPr="00AC3FAE">
        <w:rPr>
          <w:i/>
          <w:iCs/>
        </w:rPr>
        <w:t xml:space="preserve"> Russian </w:t>
      </w:r>
      <w:proofErr w:type="spellStart"/>
      <w:r w:rsidR="002022F1" w:rsidRPr="00AC3FAE">
        <w:rPr>
          <w:i/>
          <w:iCs/>
        </w:rPr>
        <w:t>Federation</w:t>
      </w:r>
      <w:proofErr w:type="spellEnd"/>
      <w:r w:rsidR="002022F1" w:rsidRPr="00AC3FAE">
        <w:rPr>
          <w:i/>
          <w:iCs/>
        </w:rPr>
        <w:t xml:space="preserve">: A </w:t>
      </w:r>
      <w:proofErr w:type="spellStart"/>
      <w:r w:rsidR="002022F1" w:rsidRPr="00AC3FAE">
        <w:rPr>
          <w:i/>
          <w:iCs/>
        </w:rPr>
        <w:t>Contextual</w:t>
      </w:r>
      <w:proofErr w:type="spellEnd"/>
      <w:r w:rsidR="002022F1" w:rsidRPr="00AC3FAE">
        <w:rPr>
          <w:i/>
          <w:iCs/>
        </w:rPr>
        <w:t xml:space="preserve"> Analysis</w:t>
      </w:r>
      <w:r w:rsidR="002022F1" w:rsidRPr="00AC3FAE">
        <w:t>, (Hart 2011), s. 68 vd.</w:t>
      </w:r>
    </w:p>
  </w:footnote>
  <w:footnote w:id="8">
    <w:p w14:paraId="3E1939F8" w14:textId="31F0CE1A" w:rsidR="00B01099" w:rsidRPr="00AC3FAE" w:rsidRDefault="00B01099" w:rsidP="001D4667">
      <w:pPr>
        <w:pStyle w:val="FootnoteText"/>
        <w:jc w:val="both"/>
      </w:pPr>
      <w:r w:rsidRPr="00AC3FAE">
        <w:rPr>
          <w:rStyle w:val="FootnoteReference"/>
        </w:rPr>
        <w:footnoteRef/>
      </w:r>
      <w:r w:rsidRPr="00AC3FAE">
        <w:t xml:space="preserve"> </w:t>
      </w:r>
      <w:proofErr w:type="spellStart"/>
      <w:r w:rsidRPr="00AC3FAE">
        <w:t>Sanford</w:t>
      </w:r>
      <w:proofErr w:type="spellEnd"/>
      <w:r w:rsidRPr="00AC3FAE">
        <w:t xml:space="preserve"> </w:t>
      </w:r>
      <w:proofErr w:type="spellStart"/>
      <w:r w:rsidRPr="00AC3FAE">
        <w:t>Levinson</w:t>
      </w:r>
      <w:proofErr w:type="spellEnd"/>
      <w:r w:rsidRPr="00AC3FAE">
        <w:t xml:space="preserve"> </w:t>
      </w:r>
      <w:r w:rsidR="001C6B6E" w:rsidRPr="00AC3FAE">
        <w:t xml:space="preserve">ve </w:t>
      </w:r>
      <w:proofErr w:type="spellStart"/>
      <w:r w:rsidRPr="00AC3FAE">
        <w:t>Jack</w:t>
      </w:r>
      <w:proofErr w:type="spellEnd"/>
      <w:r w:rsidRPr="00AC3FAE">
        <w:t xml:space="preserve"> M. </w:t>
      </w:r>
      <w:proofErr w:type="spellStart"/>
      <w:r w:rsidRPr="00AC3FAE">
        <w:t>Balkin</w:t>
      </w:r>
      <w:proofErr w:type="spellEnd"/>
      <w:r w:rsidRPr="00AC3FAE">
        <w:t xml:space="preserve">, </w:t>
      </w:r>
      <w:r w:rsidR="005F4C2B" w:rsidRPr="00AC3FAE">
        <w:t>“</w:t>
      </w:r>
      <w:proofErr w:type="spellStart"/>
      <w:r w:rsidRPr="00AC3FAE">
        <w:t>Constitutional</w:t>
      </w:r>
      <w:proofErr w:type="spellEnd"/>
      <w:r w:rsidRPr="00AC3FAE">
        <w:t xml:space="preserve"> </w:t>
      </w:r>
      <w:proofErr w:type="spellStart"/>
      <w:r w:rsidRPr="00AC3FAE">
        <w:t>Crises</w:t>
      </w:r>
      <w:proofErr w:type="spellEnd"/>
      <w:r w:rsidR="001C6B6E" w:rsidRPr="00AC3FAE">
        <w:t xml:space="preserve">”, </w:t>
      </w:r>
      <w:proofErr w:type="spellStart"/>
      <w:r w:rsidR="001C6B6E" w:rsidRPr="00AC3FAE">
        <w:t>University</w:t>
      </w:r>
      <w:proofErr w:type="spellEnd"/>
      <w:r w:rsidR="001C6B6E" w:rsidRPr="00AC3FAE">
        <w:t xml:space="preserve"> of Pennsylvania </w:t>
      </w:r>
      <w:proofErr w:type="spellStart"/>
      <w:r w:rsidR="001C6B6E" w:rsidRPr="00AC3FAE">
        <w:t>Law</w:t>
      </w:r>
      <w:proofErr w:type="spellEnd"/>
      <w:r w:rsidR="001C6B6E" w:rsidRPr="00AC3FAE">
        <w:t xml:space="preserve"> </w:t>
      </w:r>
      <w:proofErr w:type="spellStart"/>
      <w:r w:rsidR="001C6B6E" w:rsidRPr="00AC3FAE">
        <w:t>Review</w:t>
      </w:r>
      <w:proofErr w:type="spellEnd"/>
      <w:r w:rsidR="001C6B6E" w:rsidRPr="00AC3FAE">
        <w:t xml:space="preserve">, </w:t>
      </w:r>
      <w:r w:rsidRPr="00AC3FAE">
        <w:t>157</w:t>
      </w:r>
      <w:r w:rsidR="001C6B6E" w:rsidRPr="00AC3FAE">
        <w:t>(3), (2019), s. 707-753;</w:t>
      </w:r>
      <w:r w:rsidRPr="00AC3FAE">
        <w:t xml:space="preserve"> </w:t>
      </w:r>
      <w:proofErr w:type="spellStart"/>
      <w:r w:rsidRPr="00AC3FAE">
        <w:t>Jack</w:t>
      </w:r>
      <w:proofErr w:type="spellEnd"/>
      <w:r w:rsidRPr="00AC3FAE">
        <w:t xml:space="preserve"> M. </w:t>
      </w:r>
      <w:proofErr w:type="spellStart"/>
      <w:r w:rsidRPr="00AC3FAE">
        <w:t>Balkin</w:t>
      </w:r>
      <w:proofErr w:type="spellEnd"/>
      <w:r w:rsidRPr="00AC3FAE">
        <w:t xml:space="preserve">, </w:t>
      </w:r>
      <w:r w:rsidR="001C6B6E" w:rsidRPr="00AC3FAE">
        <w:t>“</w:t>
      </w:r>
      <w:proofErr w:type="spellStart"/>
      <w:r w:rsidRPr="00AC3FAE">
        <w:t>Constitutional</w:t>
      </w:r>
      <w:proofErr w:type="spellEnd"/>
      <w:r w:rsidRPr="00AC3FAE">
        <w:t xml:space="preserve"> </w:t>
      </w:r>
      <w:proofErr w:type="spellStart"/>
      <w:r w:rsidRPr="00AC3FAE">
        <w:t>Crisis</w:t>
      </w:r>
      <w:proofErr w:type="spellEnd"/>
      <w:r w:rsidRPr="00AC3FAE">
        <w:t xml:space="preserve"> </w:t>
      </w:r>
      <w:proofErr w:type="spellStart"/>
      <w:r w:rsidRPr="00AC3FAE">
        <w:t>and</w:t>
      </w:r>
      <w:proofErr w:type="spellEnd"/>
      <w:r w:rsidRPr="00AC3FAE">
        <w:t xml:space="preserve"> </w:t>
      </w:r>
      <w:proofErr w:type="spellStart"/>
      <w:r w:rsidRPr="00AC3FAE">
        <w:t>Constitutional</w:t>
      </w:r>
      <w:proofErr w:type="spellEnd"/>
      <w:r w:rsidRPr="00AC3FAE">
        <w:t xml:space="preserve"> Rot</w:t>
      </w:r>
      <w:r w:rsidR="001C6B6E" w:rsidRPr="00AC3FAE">
        <w:t>”</w:t>
      </w:r>
      <w:r w:rsidRPr="00AC3FAE">
        <w:t xml:space="preserve">, </w:t>
      </w:r>
      <w:r w:rsidRPr="00AC3FAE">
        <w:rPr>
          <w:i/>
          <w:iCs/>
        </w:rPr>
        <w:t xml:space="preserve">Maryland </w:t>
      </w:r>
      <w:proofErr w:type="spellStart"/>
      <w:r w:rsidRPr="00AC3FAE">
        <w:rPr>
          <w:i/>
          <w:iCs/>
        </w:rPr>
        <w:t>Law</w:t>
      </w:r>
      <w:proofErr w:type="spellEnd"/>
      <w:r w:rsidRPr="00AC3FAE">
        <w:rPr>
          <w:i/>
          <w:iCs/>
        </w:rPr>
        <w:t xml:space="preserve"> </w:t>
      </w:r>
      <w:proofErr w:type="spellStart"/>
      <w:r w:rsidR="005F4C2B" w:rsidRPr="00AC3FAE">
        <w:rPr>
          <w:i/>
          <w:iCs/>
        </w:rPr>
        <w:t>R</w:t>
      </w:r>
      <w:r w:rsidRPr="00AC3FAE">
        <w:rPr>
          <w:i/>
          <w:iCs/>
        </w:rPr>
        <w:t>eview</w:t>
      </w:r>
      <w:proofErr w:type="spellEnd"/>
      <w:r w:rsidRPr="00AC3FAE">
        <w:t xml:space="preserve">, </w:t>
      </w:r>
      <w:proofErr w:type="spellStart"/>
      <w:r w:rsidRPr="00AC3FAE">
        <w:t>Vol</w:t>
      </w:r>
      <w:proofErr w:type="spellEnd"/>
      <w:r w:rsidRPr="00AC3FAE">
        <w:t>. 77</w:t>
      </w:r>
      <w:r w:rsidR="001C6B6E" w:rsidRPr="00AC3FAE">
        <w:t xml:space="preserve">(1), </w:t>
      </w:r>
      <w:r w:rsidRPr="00AC3FAE">
        <w:t>(2017)</w:t>
      </w:r>
      <w:r w:rsidR="001C6B6E" w:rsidRPr="00AC3FAE">
        <w:t>, s. 147-160.</w:t>
      </w:r>
    </w:p>
  </w:footnote>
  <w:footnote w:id="9">
    <w:p w14:paraId="68D1B542" w14:textId="257AA1B1" w:rsidR="00B01099" w:rsidRPr="00AC3FAE" w:rsidRDefault="00B01099" w:rsidP="001D4667">
      <w:pPr>
        <w:pStyle w:val="FootnoteText"/>
        <w:jc w:val="both"/>
      </w:pPr>
      <w:r w:rsidRPr="00AC3FAE">
        <w:rPr>
          <w:rStyle w:val="FootnoteReference"/>
        </w:rPr>
        <w:footnoteRef/>
      </w:r>
      <w:r w:rsidRPr="00AC3FAE">
        <w:t xml:space="preserve"> Mark </w:t>
      </w:r>
      <w:proofErr w:type="spellStart"/>
      <w:r w:rsidRPr="00AC3FAE">
        <w:t>Tushnet</w:t>
      </w:r>
      <w:proofErr w:type="spellEnd"/>
      <w:r w:rsidRPr="00AC3FAE">
        <w:t>, “</w:t>
      </w:r>
      <w:proofErr w:type="spellStart"/>
      <w:r w:rsidRPr="00AC3FAE">
        <w:t>Constitutional</w:t>
      </w:r>
      <w:proofErr w:type="spellEnd"/>
      <w:r w:rsidRPr="00AC3FAE">
        <w:t xml:space="preserve"> </w:t>
      </w:r>
      <w:proofErr w:type="spellStart"/>
      <w:r w:rsidRPr="00AC3FAE">
        <w:t>Hardball</w:t>
      </w:r>
      <w:proofErr w:type="spellEnd"/>
      <w:r w:rsidRPr="00AC3FAE">
        <w:t xml:space="preserve">”, </w:t>
      </w:r>
      <w:proofErr w:type="spellStart"/>
      <w:r w:rsidR="001C6B6E" w:rsidRPr="00AC3FAE">
        <w:rPr>
          <w:i/>
          <w:iCs/>
        </w:rPr>
        <w:t>The</w:t>
      </w:r>
      <w:proofErr w:type="spellEnd"/>
      <w:r w:rsidR="001C6B6E" w:rsidRPr="00AC3FAE">
        <w:rPr>
          <w:i/>
          <w:iCs/>
        </w:rPr>
        <w:t xml:space="preserve"> John Marshall </w:t>
      </w:r>
      <w:proofErr w:type="spellStart"/>
      <w:r w:rsidR="001C6B6E" w:rsidRPr="00AC3FAE">
        <w:rPr>
          <w:i/>
          <w:iCs/>
        </w:rPr>
        <w:t>Law</w:t>
      </w:r>
      <w:proofErr w:type="spellEnd"/>
      <w:r w:rsidR="001C6B6E" w:rsidRPr="00AC3FAE">
        <w:rPr>
          <w:i/>
          <w:iCs/>
        </w:rPr>
        <w:t xml:space="preserve"> </w:t>
      </w:r>
      <w:proofErr w:type="spellStart"/>
      <w:r w:rsidR="001C6B6E" w:rsidRPr="00AC3FAE">
        <w:rPr>
          <w:i/>
          <w:iCs/>
        </w:rPr>
        <w:t>Review</w:t>
      </w:r>
      <w:proofErr w:type="spellEnd"/>
      <w:r w:rsidR="001C6B6E" w:rsidRPr="00AC3FAE">
        <w:t xml:space="preserve">, </w:t>
      </w:r>
      <w:r w:rsidRPr="00AC3FAE">
        <w:t>37</w:t>
      </w:r>
      <w:r w:rsidR="001C6B6E" w:rsidRPr="00AC3FAE">
        <w:t>(2), (2004), s. 521-553.</w:t>
      </w:r>
    </w:p>
  </w:footnote>
  <w:footnote w:id="10">
    <w:p w14:paraId="4D8B39BD" w14:textId="12C3D2E2" w:rsidR="00B01099" w:rsidRPr="00AC3FAE" w:rsidRDefault="00B01099" w:rsidP="001D4667">
      <w:pPr>
        <w:pStyle w:val="FootnoteText"/>
        <w:jc w:val="both"/>
      </w:pPr>
      <w:r w:rsidRPr="00AC3FAE">
        <w:rPr>
          <w:rStyle w:val="FootnoteReference"/>
        </w:rPr>
        <w:footnoteRef/>
      </w:r>
      <w:r w:rsidRPr="00AC3FAE">
        <w:t xml:space="preserve"> </w:t>
      </w:r>
      <w:proofErr w:type="spellStart"/>
      <w:r w:rsidR="009A1CCC" w:rsidRPr="00AC3FAE">
        <w:t>Jack</w:t>
      </w:r>
      <w:proofErr w:type="spellEnd"/>
      <w:r w:rsidR="009A1CCC" w:rsidRPr="00AC3FAE">
        <w:t xml:space="preserve"> M. </w:t>
      </w:r>
      <w:proofErr w:type="spellStart"/>
      <w:r w:rsidR="009A1CCC" w:rsidRPr="00AC3FAE">
        <w:t>Balkin</w:t>
      </w:r>
      <w:proofErr w:type="spellEnd"/>
      <w:r w:rsidR="009A1CCC" w:rsidRPr="00AC3FAE">
        <w:t>, “</w:t>
      </w:r>
      <w:proofErr w:type="spellStart"/>
      <w:r w:rsidR="009A1CCC" w:rsidRPr="00AC3FAE">
        <w:t>Constitutional</w:t>
      </w:r>
      <w:proofErr w:type="spellEnd"/>
      <w:r w:rsidR="009A1CCC" w:rsidRPr="00AC3FAE">
        <w:t xml:space="preserve"> </w:t>
      </w:r>
      <w:proofErr w:type="spellStart"/>
      <w:r w:rsidR="009A1CCC" w:rsidRPr="00AC3FAE">
        <w:t>Crisis</w:t>
      </w:r>
      <w:proofErr w:type="spellEnd"/>
      <w:r w:rsidR="009A1CCC" w:rsidRPr="00AC3FAE">
        <w:t xml:space="preserve"> </w:t>
      </w:r>
      <w:proofErr w:type="spellStart"/>
      <w:r w:rsidR="009A1CCC" w:rsidRPr="00AC3FAE">
        <w:t>and</w:t>
      </w:r>
      <w:proofErr w:type="spellEnd"/>
      <w:r w:rsidR="009A1CCC" w:rsidRPr="00AC3FAE">
        <w:t xml:space="preserve"> </w:t>
      </w:r>
      <w:proofErr w:type="spellStart"/>
      <w:r w:rsidR="009A1CCC" w:rsidRPr="00AC3FAE">
        <w:t>Constitutional</w:t>
      </w:r>
      <w:proofErr w:type="spellEnd"/>
      <w:r w:rsidR="009A1CCC" w:rsidRPr="00AC3FAE">
        <w:t xml:space="preserve"> Rot”, </w:t>
      </w:r>
      <w:r w:rsidR="009A1CCC" w:rsidRPr="00AC3FAE">
        <w:rPr>
          <w:i/>
          <w:iCs/>
        </w:rPr>
        <w:t xml:space="preserve">Maryland </w:t>
      </w:r>
      <w:proofErr w:type="spellStart"/>
      <w:r w:rsidR="009A1CCC" w:rsidRPr="00AC3FAE">
        <w:rPr>
          <w:i/>
          <w:iCs/>
        </w:rPr>
        <w:t>Law</w:t>
      </w:r>
      <w:proofErr w:type="spellEnd"/>
      <w:r w:rsidR="009A1CCC" w:rsidRPr="00AC3FAE">
        <w:rPr>
          <w:i/>
          <w:iCs/>
        </w:rPr>
        <w:t xml:space="preserve"> </w:t>
      </w:r>
      <w:proofErr w:type="spellStart"/>
      <w:r w:rsidR="009A1CCC" w:rsidRPr="00AC3FAE">
        <w:rPr>
          <w:i/>
          <w:iCs/>
        </w:rPr>
        <w:t>Review</w:t>
      </w:r>
      <w:proofErr w:type="spellEnd"/>
      <w:r w:rsidR="009A1CCC" w:rsidRPr="00AC3FAE">
        <w:t xml:space="preserve">, </w:t>
      </w:r>
      <w:proofErr w:type="spellStart"/>
      <w:r w:rsidR="009A1CCC" w:rsidRPr="00AC3FAE">
        <w:t>Vol</w:t>
      </w:r>
      <w:proofErr w:type="spellEnd"/>
      <w:r w:rsidR="009A1CCC" w:rsidRPr="00AC3FAE">
        <w:t xml:space="preserve">. 77(1), (2017), </w:t>
      </w:r>
      <w:r w:rsidRPr="00AC3FAE">
        <w:t>s. 121.</w:t>
      </w:r>
    </w:p>
  </w:footnote>
  <w:footnote w:id="11">
    <w:p w14:paraId="11DF11FD" w14:textId="5F0FE1B5" w:rsidR="009A1CCC" w:rsidRPr="00AC3FAE" w:rsidRDefault="009A1CCC" w:rsidP="001D4667">
      <w:pPr>
        <w:pStyle w:val="FootnoteText"/>
        <w:jc w:val="both"/>
      </w:pPr>
      <w:r w:rsidRPr="00AC3FAE">
        <w:rPr>
          <w:rStyle w:val="FootnoteReference"/>
        </w:rPr>
        <w:footnoteRef/>
      </w:r>
      <w:r w:rsidRPr="00AC3FAE">
        <w:t xml:space="preserve"> </w:t>
      </w:r>
      <w:proofErr w:type="spellStart"/>
      <w:r w:rsidRPr="00AC3FAE">
        <w:t>Ibid</w:t>
      </w:r>
      <w:proofErr w:type="spellEnd"/>
      <w:r w:rsidRPr="00AC3FAE">
        <w:t>., s. 156.</w:t>
      </w:r>
      <w:r w:rsidR="001D4667" w:rsidRPr="00AC3FAE">
        <w:t xml:space="preserve"> Aslında bu yönüyle “</w:t>
      </w:r>
      <w:proofErr w:type="spellStart"/>
      <w:r w:rsidR="001D4667" w:rsidRPr="00AC3FAE">
        <w:t>anayasasızlaştırma</w:t>
      </w:r>
      <w:proofErr w:type="spellEnd"/>
      <w:r w:rsidR="001D4667" w:rsidRPr="00AC3FAE">
        <w:t xml:space="preserve">” kavramı da bunu yansıtır gibidir. İbrahim Ö. Kaboğlu, </w:t>
      </w:r>
      <w:proofErr w:type="spellStart"/>
      <w:r w:rsidR="001D4667" w:rsidRPr="00AC3FAE">
        <w:rPr>
          <w:i/>
          <w:iCs/>
        </w:rPr>
        <w:t>Anayasasızlaştırma</w:t>
      </w:r>
      <w:proofErr w:type="spellEnd"/>
      <w:r w:rsidR="001D4667" w:rsidRPr="00AC3FAE">
        <w:rPr>
          <w:i/>
          <w:iCs/>
        </w:rPr>
        <w:t xml:space="preserve"> ve Demokrasi Umudu</w:t>
      </w:r>
      <w:r w:rsidR="001D4667" w:rsidRPr="00AC3FAE">
        <w:t xml:space="preserve"> (Tekin 2019).</w:t>
      </w:r>
    </w:p>
  </w:footnote>
  <w:footnote w:id="12">
    <w:p w14:paraId="6DE4CA53" w14:textId="02803966" w:rsidR="001C6B6E" w:rsidRPr="00AC3FAE" w:rsidRDefault="00E97418" w:rsidP="001D4667">
      <w:pPr>
        <w:pStyle w:val="FootnoteText"/>
        <w:jc w:val="both"/>
      </w:pPr>
      <w:r w:rsidRPr="00AC3FAE">
        <w:rPr>
          <w:rStyle w:val="FootnoteReference"/>
        </w:rPr>
        <w:footnoteRef/>
      </w:r>
      <w:r w:rsidRPr="00AC3FAE">
        <w:t xml:space="preserve"> </w:t>
      </w:r>
      <w:r w:rsidR="00375BB1" w:rsidRPr="00AC3FAE">
        <w:t xml:space="preserve"> </w:t>
      </w:r>
      <w:r w:rsidRPr="00AC3FAE">
        <w:t xml:space="preserve">Kavramsal </w:t>
      </w:r>
      <w:proofErr w:type="spellStart"/>
      <w:r w:rsidRPr="00AC3FAE">
        <w:t>türetimler</w:t>
      </w:r>
      <w:proofErr w:type="spellEnd"/>
      <w:r w:rsidRPr="00AC3FAE">
        <w:t>,</w:t>
      </w:r>
      <w:r w:rsidR="001A14CE" w:rsidRPr="00AC3FAE">
        <w:t xml:space="preserve"> zayıflama</w:t>
      </w:r>
      <w:r w:rsidRPr="00AC3FAE">
        <w:t xml:space="preserve"> </w:t>
      </w:r>
      <w:r w:rsidR="001A14CE" w:rsidRPr="00AC3FAE">
        <w:t>(</w:t>
      </w:r>
      <w:proofErr w:type="spellStart"/>
      <w:r w:rsidRPr="00AC3FAE">
        <w:rPr>
          <w:i/>
          <w:iCs/>
        </w:rPr>
        <w:t>decline</w:t>
      </w:r>
      <w:proofErr w:type="spellEnd"/>
      <w:r w:rsidR="001A14CE" w:rsidRPr="00AC3FAE">
        <w:rPr>
          <w:i/>
          <w:iCs/>
        </w:rPr>
        <w:t xml:space="preserve">), </w:t>
      </w:r>
      <w:r w:rsidR="001A14CE" w:rsidRPr="00AC3FAE">
        <w:t>sapma (</w:t>
      </w:r>
      <w:proofErr w:type="spellStart"/>
      <w:r w:rsidRPr="00AC3FAE">
        <w:rPr>
          <w:i/>
          <w:iCs/>
        </w:rPr>
        <w:t>backsliding</w:t>
      </w:r>
      <w:proofErr w:type="spellEnd"/>
      <w:r w:rsidR="001A14CE" w:rsidRPr="00AC3FAE">
        <w:rPr>
          <w:i/>
          <w:iCs/>
        </w:rPr>
        <w:t>)</w:t>
      </w:r>
      <w:r w:rsidRPr="00AC3FAE">
        <w:t>,</w:t>
      </w:r>
      <w:r w:rsidR="001A14CE" w:rsidRPr="00AC3FAE">
        <w:t xml:space="preserve"> geri çekilme (</w:t>
      </w:r>
      <w:proofErr w:type="spellStart"/>
      <w:r w:rsidRPr="00AC3FAE">
        <w:rPr>
          <w:i/>
          <w:iCs/>
        </w:rPr>
        <w:t>recession</w:t>
      </w:r>
      <w:proofErr w:type="spellEnd"/>
      <w:r w:rsidR="001A14CE" w:rsidRPr="00AC3FAE">
        <w:rPr>
          <w:i/>
          <w:iCs/>
        </w:rPr>
        <w:t>)</w:t>
      </w:r>
      <w:r w:rsidRPr="00AC3FAE">
        <w:t xml:space="preserve">, </w:t>
      </w:r>
      <w:r w:rsidR="001A14CE" w:rsidRPr="00AC3FAE">
        <w:t>kötüleşme (</w:t>
      </w:r>
      <w:proofErr w:type="spellStart"/>
      <w:r w:rsidRPr="00AC3FAE">
        <w:rPr>
          <w:i/>
          <w:iCs/>
        </w:rPr>
        <w:t>retrogression</w:t>
      </w:r>
      <w:proofErr w:type="spellEnd"/>
      <w:r w:rsidR="001A14CE" w:rsidRPr="00AC3FAE">
        <w:rPr>
          <w:i/>
          <w:iCs/>
        </w:rPr>
        <w:t>)</w:t>
      </w:r>
      <w:r w:rsidRPr="00AC3FAE">
        <w:t xml:space="preserve">, </w:t>
      </w:r>
      <w:r w:rsidR="001A14CE" w:rsidRPr="00AC3FAE">
        <w:t>çökme (</w:t>
      </w:r>
      <w:proofErr w:type="spellStart"/>
      <w:r w:rsidRPr="00AC3FAE">
        <w:rPr>
          <w:i/>
          <w:iCs/>
        </w:rPr>
        <w:t>breakdown</w:t>
      </w:r>
      <w:proofErr w:type="spellEnd"/>
      <w:r w:rsidR="001A14CE" w:rsidRPr="00AC3FAE">
        <w:rPr>
          <w:i/>
          <w:iCs/>
        </w:rPr>
        <w:t>)</w:t>
      </w:r>
      <w:r w:rsidRPr="00AC3FAE">
        <w:t xml:space="preserve"> gibi yeni biçimlerle çeşitlenmedir. Bkz. Mark A. </w:t>
      </w:r>
      <w:proofErr w:type="spellStart"/>
      <w:r w:rsidRPr="00AC3FAE">
        <w:t>Graber</w:t>
      </w:r>
      <w:proofErr w:type="spellEnd"/>
      <w:r w:rsidRPr="00AC3FAE">
        <w:t xml:space="preserve">, </w:t>
      </w:r>
      <w:proofErr w:type="spellStart"/>
      <w:r w:rsidRPr="00AC3FAE">
        <w:t>Senfrod</w:t>
      </w:r>
      <w:proofErr w:type="spellEnd"/>
      <w:r w:rsidRPr="00AC3FAE">
        <w:t xml:space="preserve"> </w:t>
      </w:r>
      <w:proofErr w:type="spellStart"/>
      <w:r w:rsidRPr="00AC3FAE">
        <w:t>Levinson</w:t>
      </w:r>
      <w:proofErr w:type="spellEnd"/>
      <w:r w:rsidRPr="00AC3FAE">
        <w:t xml:space="preserve"> ve Mark </w:t>
      </w:r>
      <w:proofErr w:type="spellStart"/>
      <w:r w:rsidRPr="00AC3FAE">
        <w:t>Tushnet</w:t>
      </w:r>
      <w:proofErr w:type="spellEnd"/>
      <w:r w:rsidRPr="00AC3FAE">
        <w:t xml:space="preserve">, </w:t>
      </w:r>
      <w:proofErr w:type="spellStart"/>
      <w:r w:rsidRPr="00AC3FAE">
        <w:rPr>
          <w:i/>
          <w:iCs/>
        </w:rPr>
        <w:t>Constitutional</w:t>
      </w:r>
      <w:proofErr w:type="spellEnd"/>
      <w:r w:rsidRPr="00AC3FAE">
        <w:rPr>
          <w:i/>
          <w:iCs/>
        </w:rPr>
        <w:t xml:space="preserve"> </w:t>
      </w:r>
      <w:proofErr w:type="spellStart"/>
      <w:r w:rsidRPr="00AC3FAE">
        <w:rPr>
          <w:i/>
          <w:iCs/>
        </w:rPr>
        <w:t>Democracy</w:t>
      </w:r>
      <w:proofErr w:type="spellEnd"/>
      <w:r w:rsidRPr="00AC3FAE">
        <w:rPr>
          <w:i/>
          <w:iCs/>
        </w:rPr>
        <w:t xml:space="preserve"> in </w:t>
      </w:r>
      <w:proofErr w:type="spellStart"/>
      <w:proofErr w:type="gramStart"/>
      <w:r w:rsidRPr="00AC3FAE">
        <w:rPr>
          <w:i/>
          <w:iCs/>
        </w:rPr>
        <w:t>Crisis</w:t>
      </w:r>
      <w:proofErr w:type="spellEnd"/>
      <w:r w:rsidR="001C6B6E" w:rsidRPr="00AC3FAE">
        <w:t>,(</w:t>
      </w:r>
      <w:proofErr w:type="gramEnd"/>
      <w:r w:rsidR="001C6B6E" w:rsidRPr="00AC3FAE">
        <w:t>OUP, 2018).</w:t>
      </w:r>
    </w:p>
    <w:p w14:paraId="584D76FA" w14:textId="7478EF19" w:rsidR="00E97418" w:rsidRPr="00AC3FAE" w:rsidRDefault="00E97418" w:rsidP="001D4667">
      <w:pPr>
        <w:pStyle w:val="FootnoteText"/>
        <w:jc w:val="both"/>
        <w:rPr>
          <w:iCs/>
        </w:rPr>
      </w:pPr>
      <w:r w:rsidRPr="00AC3FAE">
        <w:rPr>
          <w:iCs/>
        </w:rPr>
        <w:t xml:space="preserve">Spesifik ülke örneklerine yoğunlaşan monografik eserlerden bazıları için bkz. </w:t>
      </w:r>
      <w:proofErr w:type="spellStart"/>
      <w:r w:rsidRPr="00AC3FAE">
        <w:t>Emilio</w:t>
      </w:r>
      <w:proofErr w:type="spellEnd"/>
      <w:r w:rsidRPr="00AC3FAE">
        <w:t xml:space="preserve"> </w:t>
      </w:r>
      <w:proofErr w:type="spellStart"/>
      <w:r w:rsidRPr="00AC3FAE">
        <w:t>Peluso</w:t>
      </w:r>
      <w:proofErr w:type="spellEnd"/>
      <w:r w:rsidRPr="00AC3FAE">
        <w:t xml:space="preserve"> </w:t>
      </w:r>
      <w:proofErr w:type="spellStart"/>
      <w:r w:rsidRPr="00AC3FAE">
        <w:t>Neder</w:t>
      </w:r>
      <w:proofErr w:type="spellEnd"/>
      <w:r w:rsidRPr="00AC3FAE">
        <w:t xml:space="preserve"> </w:t>
      </w:r>
      <w:proofErr w:type="spellStart"/>
      <w:r w:rsidRPr="00AC3FAE">
        <w:t>Meyer</w:t>
      </w:r>
      <w:proofErr w:type="spellEnd"/>
      <w:r w:rsidRPr="00AC3FAE">
        <w:t xml:space="preserve">, </w:t>
      </w:r>
      <w:proofErr w:type="spellStart"/>
      <w:r w:rsidRPr="00AC3FAE">
        <w:rPr>
          <w:i/>
          <w:iCs/>
        </w:rPr>
        <w:t>Constitutional</w:t>
      </w:r>
      <w:proofErr w:type="spellEnd"/>
      <w:r w:rsidRPr="00AC3FAE">
        <w:rPr>
          <w:i/>
          <w:iCs/>
        </w:rPr>
        <w:t xml:space="preserve"> </w:t>
      </w:r>
      <w:proofErr w:type="spellStart"/>
      <w:r w:rsidRPr="00AC3FAE">
        <w:rPr>
          <w:i/>
          <w:iCs/>
        </w:rPr>
        <w:t>Erosion</w:t>
      </w:r>
      <w:proofErr w:type="spellEnd"/>
      <w:r w:rsidRPr="00AC3FAE">
        <w:rPr>
          <w:i/>
          <w:iCs/>
        </w:rPr>
        <w:t xml:space="preserve"> in </w:t>
      </w:r>
      <w:proofErr w:type="spellStart"/>
      <w:r w:rsidRPr="00AC3FAE">
        <w:rPr>
          <w:i/>
          <w:iCs/>
        </w:rPr>
        <w:t>Brazil</w:t>
      </w:r>
      <w:proofErr w:type="spellEnd"/>
      <w:r w:rsidRPr="00AC3FAE">
        <w:t xml:space="preserve">, (Hart 2021); </w:t>
      </w:r>
      <w:proofErr w:type="spellStart"/>
      <w:r w:rsidRPr="00AC3FAE">
        <w:t>Wojciech</w:t>
      </w:r>
      <w:proofErr w:type="spellEnd"/>
      <w:r w:rsidRPr="00AC3FAE">
        <w:t xml:space="preserve"> </w:t>
      </w:r>
      <w:proofErr w:type="spellStart"/>
      <w:r w:rsidRPr="00AC3FAE">
        <w:t>Sadurski</w:t>
      </w:r>
      <w:proofErr w:type="spellEnd"/>
      <w:r w:rsidRPr="00AC3FAE">
        <w:t xml:space="preserve">, </w:t>
      </w:r>
      <w:proofErr w:type="spellStart"/>
      <w:r w:rsidRPr="00AC3FAE">
        <w:rPr>
          <w:i/>
          <w:iCs/>
        </w:rPr>
        <w:t>Poland</w:t>
      </w:r>
      <w:r w:rsidR="001A14CE" w:rsidRPr="00AC3FAE">
        <w:rPr>
          <w:i/>
          <w:iCs/>
        </w:rPr>
        <w:t>’</w:t>
      </w:r>
      <w:r w:rsidRPr="00AC3FAE">
        <w:rPr>
          <w:i/>
          <w:iCs/>
        </w:rPr>
        <w:t>s</w:t>
      </w:r>
      <w:proofErr w:type="spellEnd"/>
      <w:r w:rsidRPr="00AC3FAE">
        <w:rPr>
          <w:i/>
          <w:iCs/>
        </w:rPr>
        <w:t xml:space="preserve"> </w:t>
      </w:r>
      <w:proofErr w:type="spellStart"/>
      <w:r w:rsidRPr="00AC3FAE">
        <w:rPr>
          <w:i/>
          <w:iCs/>
        </w:rPr>
        <w:t>Constitutional</w:t>
      </w:r>
      <w:proofErr w:type="spellEnd"/>
      <w:r w:rsidRPr="00AC3FAE">
        <w:rPr>
          <w:i/>
          <w:iCs/>
        </w:rPr>
        <w:t xml:space="preserve"> </w:t>
      </w:r>
      <w:proofErr w:type="spellStart"/>
      <w:r w:rsidRPr="00AC3FAE">
        <w:rPr>
          <w:i/>
          <w:iCs/>
        </w:rPr>
        <w:t>Breakdown</w:t>
      </w:r>
      <w:proofErr w:type="spellEnd"/>
      <w:r w:rsidRPr="00AC3FAE">
        <w:t xml:space="preserve"> (OUP, 2019).</w:t>
      </w:r>
    </w:p>
  </w:footnote>
  <w:footnote w:id="13">
    <w:p w14:paraId="50CFAAF7" w14:textId="08AD1AF3" w:rsidR="00E97418" w:rsidRPr="00AC3FAE" w:rsidRDefault="00E97418" w:rsidP="001D4667">
      <w:pPr>
        <w:pStyle w:val="FootnoteText"/>
        <w:jc w:val="both"/>
      </w:pPr>
      <w:r w:rsidRPr="00AC3FAE">
        <w:rPr>
          <w:rStyle w:val="FootnoteReference"/>
        </w:rPr>
        <w:footnoteRef/>
      </w:r>
      <w:r w:rsidRPr="00AC3FAE">
        <w:t xml:space="preserve"> </w:t>
      </w:r>
      <w:r w:rsidR="00064779">
        <w:t>S</w:t>
      </w:r>
      <w:r w:rsidRPr="00AC3FAE">
        <w:t xml:space="preserve">öz konusu tanımlara dayanan bir projede bu ortaklık, anayasayı bir dişe, otoriterliği de bir şekere benzetip bu temasın belli bir aşamada “çürüme” yaratacağı benzetmeyle yansıtılmıştır. Bkz. </w:t>
      </w:r>
      <w:hyperlink r:id="rId2" w:history="1">
        <w:r w:rsidRPr="00AC3FAE">
          <w:rPr>
            <w:rStyle w:val="Hyperlink"/>
          </w:rPr>
          <w:t>https://www.democratic-decay.org/democratic-decay-as-the-organising-concept</w:t>
        </w:r>
      </w:hyperlink>
      <w:r w:rsidRPr="00AC3FAE">
        <w:t xml:space="preserve"> </w:t>
      </w:r>
    </w:p>
  </w:footnote>
  <w:footnote w:id="14">
    <w:p w14:paraId="5250A698" w14:textId="3BDE3FA0" w:rsidR="00B07B66" w:rsidRPr="00AC3FAE" w:rsidRDefault="00B07B66" w:rsidP="001D4667">
      <w:pPr>
        <w:pStyle w:val="FootnoteText"/>
        <w:jc w:val="both"/>
      </w:pPr>
      <w:r w:rsidRPr="00AC3FAE">
        <w:rPr>
          <w:rStyle w:val="FootnoteReference"/>
        </w:rPr>
        <w:footnoteRef/>
      </w:r>
      <w:r w:rsidRPr="00AC3FAE">
        <w:t xml:space="preserve"> </w:t>
      </w:r>
      <w:proofErr w:type="spellStart"/>
      <w:r w:rsidRPr="00AC3FAE">
        <w:t>Wojciech</w:t>
      </w:r>
      <w:proofErr w:type="spellEnd"/>
      <w:r w:rsidRPr="00AC3FAE">
        <w:t xml:space="preserve"> </w:t>
      </w:r>
      <w:proofErr w:type="spellStart"/>
      <w:r w:rsidRPr="00AC3FAE">
        <w:t>Sadurski</w:t>
      </w:r>
      <w:proofErr w:type="spellEnd"/>
      <w:r w:rsidRPr="00AC3FAE">
        <w:t>, “</w:t>
      </w:r>
      <w:proofErr w:type="spellStart"/>
      <w:r w:rsidRPr="00AC3FAE">
        <w:t>Constitutional</w:t>
      </w:r>
      <w:proofErr w:type="spellEnd"/>
      <w:r w:rsidRPr="00AC3FAE">
        <w:t xml:space="preserve"> </w:t>
      </w:r>
      <w:proofErr w:type="spellStart"/>
      <w:r w:rsidRPr="00AC3FAE">
        <w:t>Democracy</w:t>
      </w:r>
      <w:proofErr w:type="spellEnd"/>
      <w:r w:rsidRPr="00AC3FAE">
        <w:t xml:space="preserve"> in </w:t>
      </w:r>
      <w:proofErr w:type="spellStart"/>
      <w:r w:rsidRPr="00AC3FAE">
        <w:t>the</w:t>
      </w:r>
      <w:proofErr w:type="spellEnd"/>
      <w:r w:rsidRPr="00AC3FAE">
        <w:t xml:space="preserve"> Time of </w:t>
      </w:r>
      <w:proofErr w:type="spellStart"/>
      <w:r w:rsidRPr="00AC3FAE">
        <w:t>Elected</w:t>
      </w:r>
      <w:proofErr w:type="spellEnd"/>
      <w:r w:rsidRPr="00AC3FAE">
        <w:t xml:space="preserve"> </w:t>
      </w:r>
      <w:proofErr w:type="spellStart"/>
      <w:r w:rsidRPr="00AC3FAE">
        <w:t>Authoritarians</w:t>
      </w:r>
      <w:proofErr w:type="spellEnd"/>
      <w:r w:rsidRPr="00AC3FAE">
        <w:rPr>
          <w:i/>
          <w:iCs/>
        </w:rPr>
        <w:t xml:space="preserve">”, International </w:t>
      </w:r>
      <w:proofErr w:type="spellStart"/>
      <w:r w:rsidRPr="00AC3FAE">
        <w:rPr>
          <w:i/>
          <w:iCs/>
        </w:rPr>
        <w:t>Journal</w:t>
      </w:r>
      <w:proofErr w:type="spellEnd"/>
      <w:r w:rsidRPr="00AC3FAE">
        <w:rPr>
          <w:i/>
          <w:iCs/>
        </w:rPr>
        <w:t xml:space="preserve"> of </w:t>
      </w:r>
      <w:proofErr w:type="spellStart"/>
      <w:r w:rsidRPr="00AC3FAE">
        <w:rPr>
          <w:i/>
          <w:iCs/>
        </w:rPr>
        <w:t>Constitutional</w:t>
      </w:r>
      <w:proofErr w:type="spellEnd"/>
      <w:r w:rsidRPr="00AC3FAE">
        <w:rPr>
          <w:i/>
          <w:iCs/>
        </w:rPr>
        <w:t xml:space="preserve"> </w:t>
      </w:r>
      <w:proofErr w:type="spellStart"/>
      <w:r w:rsidRPr="00AC3FAE">
        <w:rPr>
          <w:i/>
          <w:iCs/>
        </w:rPr>
        <w:t>Law</w:t>
      </w:r>
      <w:proofErr w:type="spellEnd"/>
      <w:r w:rsidRPr="00AC3FAE">
        <w:t xml:space="preserve">, </w:t>
      </w:r>
      <w:proofErr w:type="spellStart"/>
      <w:r w:rsidR="001C6B6E" w:rsidRPr="00AC3FAE">
        <w:t>Vol</w:t>
      </w:r>
      <w:proofErr w:type="spellEnd"/>
      <w:r w:rsidR="001C6B6E" w:rsidRPr="00AC3FAE">
        <w:t>.</w:t>
      </w:r>
      <w:r w:rsidRPr="00AC3FAE">
        <w:t xml:space="preserve"> 18</w:t>
      </w:r>
      <w:r w:rsidR="001C6B6E" w:rsidRPr="00AC3FAE">
        <w:t>(2), (</w:t>
      </w:r>
      <w:r w:rsidRPr="00AC3FAE">
        <w:t>2020</w:t>
      </w:r>
      <w:r w:rsidR="001C6B6E" w:rsidRPr="00AC3FAE">
        <w:t>)</w:t>
      </w:r>
      <w:r w:rsidRPr="00AC3FAE">
        <w:t xml:space="preserve">, s.  324–333, </w:t>
      </w:r>
    </w:p>
  </w:footnote>
  <w:footnote w:id="15">
    <w:p w14:paraId="4C7B0BF6" w14:textId="77777777" w:rsidR="00014242" w:rsidRPr="00AC3FAE" w:rsidRDefault="00014242" w:rsidP="001D4667">
      <w:pPr>
        <w:pStyle w:val="FootnoteText"/>
        <w:jc w:val="both"/>
      </w:pPr>
      <w:r w:rsidRPr="00AC3FAE">
        <w:rPr>
          <w:rStyle w:val="FootnoteReference"/>
        </w:rPr>
        <w:footnoteRef/>
      </w:r>
      <w:r w:rsidRPr="00AC3FAE">
        <w:t xml:space="preserve"> Kemal Gözler, bu ifadeyi hukuka uymayan devlet gibi daha düşük bir seviyeyi anlatmak için kullanır görünüyor. 1982 Anayasası Hâlâ Yürürlükte Mi? </w:t>
      </w:r>
      <w:proofErr w:type="spellStart"/>
      <w:r w:rsidRPr="00AC3FAE">
        <w:t>Anayasasızlaştırma</w:t>
      </w:r>
      <w:proofErr w:type="spellEnd"/>
      <w:r w:rsidRPr="00AC3FAE">
        <w:t xml:space="preserve"> Üzerine Bir Deneme (V.4),</w:t>
      </w:r>
    </w:p>
    <w:p w14:paraId="321C4815" w14:textId="61D89895" w:rsidR="00014242" w:rsidRPr="00AC3FAE" w:rsidRDefault="00F379EF" w:rsidP="001D4667">
      <w:pPr>
        <w:pStyle w:val="FootnoteText"/>
        <w:jc w:val="both"/>
      </w:pPr>
      <w:hyperlink r:id="rId3" w:history="1">
        <w:r w:rsidR="00014242" w:rsidRPr="00AC3FAE">
          <w:rPr>
            <w:rStyle w:val="Hyperlink"/>
          </w:rPr>
          <w:t>https://www.anayasa.gen.tr/anayasasizlastirma-v4.pdf</w:t>
        </w:r>
      </w:hyperlink>
      <w:r w:rsidR="00014242" w:rsidRPr="00AC3FAE">
        <w:t xml:space="preserve"> </w:t>
      </w:r>
    </w:p>
  </w:footnote>
  <w:footnote w:id="16">
    <w:p w14:paraId="7132F6DA" w14:textId="497E3B6C" w:rsidR="00B01099" w:rsidRPr="00AC3FAE" w:rsidRDefault="00B01099" w:rsidP="001D4667">
      <w:pPr>
        <w:pStyle w:val="FootnoteText"/>
        <w:jc w:val="both"/>
      </w:pPr>
      <w:r w:rsidRPr="00AC3FAE">
        <w:rPr>
          <w:rStyle w:val="FootnoteReference"/>
        </w:rPr>
        <w:footnoteRef/>
      </w:r>
      <w:r w:rsidRPr="00AC3FAE">
        <w:t xml:space="preserve"> </w:t>
      </w:r>
      <w:r w:rsidR="00E97418" w:rsidRPr="00AC3FAE">
        <w:t xml:space="preserve">Bu çıkarımı </w:t>
      </w:r>
      <w:r w:rsidR="009A1CCC" w:rsidRPr="00AC3FAE">
        <w:t xml:space="preserve">Edward </w:t>
      </w:r>
      <w:proofErr w:type="spellStart"/>
      <w:r w:rsidR="009A1CCC" w:rsidRPr="00AC3FAE">
        <w:t>Palmer</w:t>
      </w:r>
      <w:proofErr w:type="spellEnd"/>
      <w:r w:rsidR="009A1CCC" w:rsidRPr="00AC3FAE">
        <w:t xml:space="preserve"> </w:t>
      </w:r>
      <w:proofErr w:type="spellStart"/>
      <w:r w:rsidRPr="00AC3FAE">
        <w:t>Thompson</w:t>
      </w:r>
      <w:r w:rsidR="00E97418" w:rsidRPr="00AC3FAE">
        <w:t>’un</w:t>
      </w:r>
      <w:proofErr w:type="spellEnd"/>
      <w:r w:rsidR="00E97418" w:rsidRPr="00AC3FAE">
        <w:t xml:space="preserve"> yapması dahi başlı başına bir tartışma başlatmıştır.</w:t>
      </w:r>
      <w:r w:rsidR="001C6B6E" w:rsidRPr="00AC3FAE">
        <w:t xml:space="preserve"> Bu konuda bkz. </w:t>
      </w:r>
      <w:proofErr w:type="spellStart"/>
      <w:r w:rsidR="001C6B6E" w:rsidRPr="00AC3FAE">
        <w:t>Brian</w:t>
      </w:r>
      <w:proofErr w:type="spellEnd"/>
      <w:r w:rsidR="001C6B6E" w:rsidRPr="00AC3FAE">
        <w:t xml:space="preserve"> Z. </w:t>
      </w:r>
      <w:proofErr w:type="spellStart"/>
      <w:r w:rsidR="009A1CCC" w:rsidRPr="00AC3FAE">
        <w:t>T</w:t>
      </w:r>
      <w:r w:rsidR="001C6B6E" w:rsidRPr="00AC3FAE">
        <w:t>amanaha</w:t>
      </w:r>
      <w:proofErr w:type="spellEnd"/>
      <w:r w:rsidR="001C6B6E" w:rsidRPr="00AC3FAE">
        <w:t xml:space="preserve">, </w:t>
      </w:r>
      <w:r w:rsidR="001C6B6E" w:rsidRPr="00AC3FAE">
        <w:rPr>
          <w:i/>
          <w:iCs/>
        </w:rPr>
        <w:t>Hukukun Üstünlüğü Tarih, Siyaset ve Teori</w:t>
      </w:r>
      <w:r w:rsidR="001C6B6E" w:rsidRPr="00AC3FAE">
        <w:t>, Ali Fahri Doğan (çev.), (Runik, 2020).</w:t>
      </w:r>
    </w:p>
  </w:footnote>
  <w:footnote w:id="17">
    <w:p w14:paraId="4B34F850" w14:textId="2274DF9D" w:rsidR="00B01099" w:rsidRPr="00AC3FAE" w:rsidRDefault="00B01099" w:rsidP="001D4667">
      <w:pPr>
        <w:pStyle w:val="FootnoteText"/>
        <w:jc w:val="both"/>
      </w:pPr>
      <w:r w:rsidRPr="00AC3FAE">
        <w:rPr>
          <w:rStyle w:val="FootnoteReference"/>
        </w:rPr>
        <w:footnoteRef/>
      </w:r>
      <w:r w:rsidRPr="00AC3FAE">
        <w:t xml:space="preserve"> Hukuksuzluk devleti kavramı, Almanya'da ilk kez Peter </w:t>
      </w:r>
      <w:proofErr w:type="spellStart"/>
      <w:r w:rsidRPr="00AC3FAE">
        <w:t>Reichensberger</w:t>
      </w:r>
      <w:proofErr w:type="spellEnd"/>
      <w:r w:rsidRPr="00AC3FAE">
        <w:t xml:space="preserve"> tarafından kullanıldığı söylenir</w:t>
      </w:r>
      <w:r w:rsidR="00336A95" w:rsidRPr="00AC3FAE">
        <w:t>.</w:t>
      </w:r>
    </w:p>
  </w:footnote>
  <w:footnote w:id="18">
    <w:p w14:paraId="71290CD7" w14:textId="35A2E5A0" w:rsidR="00723C0E" w:rsidRPr="00AC3FAE" w:rsidRDefault="00723C0E" w:rsidP="001D4667">
      <w:pPr>
        <w:pStyle w:val="FootnoteText"/>
        <w:jc w:val="both"/>
      </w:pPr>
      <w:r w:rsidRPr="00AC3FAE">
        <w:rPr>
          <w:rStyle w:val="FootnoteReference"/>
        </w:rPr>
        <w:footnoteRef/>
      </w:r>
      <w:r w:rsidRPr="00AC3FAE">
        <w:t xml:space="preserve"> </w:t>
      </w:r>
      <w:r w:rsidR="00867257">
        <w:t xml:space="preserve">Buradaki ve devam eden kısımdaki tüm veri kaynaklarını link kalabalığı olmaması için şurada topladım: </w:t>
      </w:r>
      <w:hyperlink r:id="rId4" w:history="1">
        <w:r w:rsidR="00867257" w:rsidRPr="00FD2AF3">
          <w:rPr>
            <w:rStyle w:val="Hyperlink"/>
          </w:rPr>
          <w:t>https://www.tolgasirin.com/</w:t>
        </w:r>
      </w:hyperlink>
      <w:r w:rsidR="00867257">
        <w:t xml:space="preserve"> </w:t>
      </w:r>
    </w:p>
  </w:footnote>
  <w:footnote w:id="19">
    <w:p w14:paraId="478B5EE2" w14:textId="66B9D3A9" w:rsidR="00723C0E" w:rsidRPr="00AC3FAE" w:rsidRDefault="00723C0E" w:rsidP="001D4667">
      <w:pPr>
        <w:pStyle w:val="FootnoteText"/>
        <w:jc w:val="both"/>
      </w:pPr>
      <w:r w:rsidRPr="00AC3FAE">
        <w:rPr>
          <w:rStyle w:val="FootnoteReference"/>
        </w:rPr>
        <w:footnoteRef/>
      </w:r>
      <w:r w:rsidRPr="00AC3FAE">
        <w:t xml:space="preserve"> Gelir dağılımı eşitsizliği ölçütlerinden olan </w:t>
      </w:r>
      <w:proofErr w:type="spellStart"/>
      <w:r w:rsidRPr="00AC3FAE">
        <w:t>Gini</w:t>
      </w:r>
      <w:proofErr w:type="spellEnd"/>
      <w:r w:rsidRPr="00AC3FAE">
        <w:t xml:space="preserve"> katsayısı, sıfıra yaklaştıkça gelir dağılımında eşitliği, bire yaklaştıkça gelir dağılımında bozulmayı ifade etmektedir. </w:t>
      </w:r>
      <w:proofErr w:type="spellStart"/>
      <w:r w:rsidRPr="00AC3FAE">
        <w:t>TÜİK’in</w:t>
      </w:r>
      <w:proofErr w:type="spellEnd"/>
      <w:r w:rsidRPr="00AC3FAE">
        <w:t xml:space="preserve"> araştırmasına göre </w:t>
      </w:r>
      <w:proofErr w:type="spellStart"/>
      <w:r w:rsidRPr="00AC3FAE">
        <w:t>Gini</w:t>
      </w:r>
      <w:proofErr w:type="spellEnd"/>
      <w:r w:rsidRPr="00AC3FAE">
        <w:t xml:space="preserve"> katsayısı bir önceki yıla göre 0,015 puan artış ile 0,410 olarak tahmin edilmektedir.</w:t>
      </w:r>
    </w:p>
  </w:footnote>
  <w:footnote w:id="20">
    <w:p w14:paraId="1D8513F5" w14:textId="0AFB5D54" w:rsidR="00723C0E" w:rsidRPr="00AC3FAE" w:rsidRDefault="00723C0E" w:rsidP="001D4667">
      <w:pPr>
        <w:pStyle w:val="FootnoteText"/>
        <w:jc w:val="both"/>
      </w:pPr>
      <w:r w:rsidRPr="00AC3FAE">
        <w:rPr>
          <w:rStyle w:val="FootnoteReference"/>
        </w:rPr>
        <w:footnoteRef/>
      </w:r>
      <w:r w:rsidRPr="00AC3FAE">
        <w:t xml:space="preserve"> Türk-İş’in raporuna göre Türkiye’deki açlık sınırı 2 bin 865 TL’dir. Asgari ücret ise 2 bin 825 TL’dir.</w:t>
      </w:r>
      <w:r w:rsidR="00867257">
        <w:t xml:space="preserve"> </w:t>
      </w:r>
      <w:r w:rsidRPr="00AC3FAE">
        <w:t>DİSK verilerine göre asgari ücretin +-%20 ücret alan işçilerin sayısı 9,7</w:t>
      </w:r>
      <w:r w:rsidR="00867257">
        <w:t xml:space="preserve"> </w:t>
      </w:r>
      <w:r w:rsidRPr="00AC3FAE">
        <w:t>milyonu civarındadır. Bu bütün çalışanların %50’sine yakını demektir.</w:t>
      </w:r>
    </w:p>
  </w:footnote>
  <w:footnote w:id="21">
    <w:p w14:paraId="7CFDB607" w14:textId="54395384" w:rsidR="00287469" w:rsidRPr="00AC3FAE" w:rsidRDefault="00287469" w:rsidP="001D4667">
      <w:pPr>
        <w:pStyle w:val="FootnoteText"/>
        <w:jc w:val="both"/>
      </w:pPr>
      <w:r w:rsidRPr="00AC3FAE">
        <w:rPr>
          <w:rStyle w:val="FootnoteReference"/>
        </w:rPr>
        <w:footnoteRef/>
      </w:r>
      <w:r w:rsidRPr="00AC3FAE">
        <w:t xml:space="preserve"> Bu süreçte sadece Suriye’den Türkiye’ye giren 4 milyona yakın göçmen vardır.</w:t>
      </w:r>
    </w:p>
  </w:footnote>
  <w:footnote w:id="22">
    <w:p w14:paraId="2C6C548A" w14:textId="50500C73" w:rsidR="001D4667" w:rsidRPr="00AC3FAE" w:rsidRDefault="001D4667" w:rsidP="001D4667">
      <w:pPr>
        <w:pStyle w:val="FootnoteText"/>
        <w:jc w:val="both"/>
      </w:pPr>
      <w:r w:rsidRPr="00AC3FAE">
        <w:rPr>
          <w:rStyle w:val="FootnoteReference"/>
        </w:rPr>
        <w:footnoteRef/>
      </w:r>
      <w:r w:rsidRPr="00AC3FAE">
        <w:t xml:space="preserve"> Bülent </w:t>
      </w:r>
      <w:proofErr w:type="spellStart"/>
      <w:r w:rsidRPr="00AC3FAE">
        <w:t>Tanör</w:t>
      </w:r>
      <w:proofErr w:type="spellEnd"/>
      <w:r w:rsidRPr="00AC3FAE">
        <w:t xml:space="preserve">, </w:t>
      </w:r>
      <w:r w:rsidRPr="00AC3FAE">
        <w:rPr>
          <w:i/>
          <w:iCs/>
        </w:rPr>
        <w:t>İki Anayasa</w:t>
      </w:r>
      <w:r w:rsidRPr="00AC3FAE">
        <w:t xml:space="preserve">, (On İki Levha 2012). Öğretideki bu olumsuz belirlemeler, </w:t>
      </w:r>
      <w:proofErr w:type="spellStart"/>
      <w:r w:rsidRPr="00AC3FAE">
        <w:t>ironik</w:t>
      </w:r>
      <w:proofErr w:type="spellEnd"/>
      <w:r w:rsidRPr="00AC3FAE">
        <w:t xml:space="preserve"> biçimde AYM içtihatlarında özgürlüklerin sınırlandırılması amacıyla da kullanıldı. </w:t>
      </w:r>
    </w:p>
  </w:footnote>
  <w:footnote w:id="23">
    <w:p w14:paraId="6232A42A" w14:textId="1E0722EF" w:rsidR="00FF28A1" w:rsidRPr="00AC3FAE" w:rsidRDefault="00FF28A1" w:rsidP="001D4667">
      <w:pPr>
        <w:pStyle w:val="FootnoteText"/>
        <w:jc w:val="both"/>
      </w:pPr>
      <w:r w:rsidRPr="00AC3FAE">
        <w:rPr>
          <w:rStyle w:val="FootnoteReference"/>
        </w:rPr>
        <w:footnoteRef/>
      </w:r>
      <w:r w:rsidRPr="00AC3FAE">
        <w:t xml:space="preserve"> </w:t>
      </w:r>
      <w:r w:rsidR="00203832" w:rsidRPr="00AC3FAE">
        <w:t>B</w:t>
      </w:r>
      <w:r w:rsidR="002D2A81" w:rsidRPr="00AC3FAE">
        <w:t xml:space="preserve">kz. </w:t>
      </w:r>
      <w:proofErr w:type="spellStart"/>
      <w:r w:rsidR="002D2A81" w:rsidRPr="00AC3FAE">
        <w:t>Yasashi</w:t>
      </w:r>
      <w:proofErr w:type="spellEnd"/>
      <w:r w:rsidR="002D2A81" w:rsidRPr="00AC3FAE">
        <w:t xml:space="preserve"> </w:t>
      </w:r>
      <w:r w:rsidR="001C6B6E" w:rsidRPr="00AC3FAE">
        <w:t>Ha</w:t>
      </w:r>
      <w:r w:rsidR="002D2A81" w:rsidRPr="00AC3FAE">
        <w:t xml:space="preserve">zama, </w:t>
      </w:r>
      <w:r w:rsidR="001C6B6E" w:rsidRPr="00AC3FAE">
        <w:t>“</w:t>
      </w:r>
      <w:proofErr w:type="spellStart"/>
      <w:r w:rsidR="002D2A81" w:rsidRPr="00AC3FAE">
        <w:t>Hegemonic</w:t>
      </w:r>
      <w:proofErr w:type="spellEnd"/>
      <w:r w:rsidR="002D2A81" w:rsidRPr="00AC3FAE">
        <w:t xml:space="preserve"> </w:t>
      </w:r>
      <w:proofErr w:type="spellStart"/>
      <w:r w:rsidR="002D2A81" w:rsidRPr="00AC3FAE">
        <w:t>Preservation</w:t>
      </w:r>
      <w:proofErr w:type="spellEnd"/>
      <w:r w:rsidR="002D2A81" w:rsidRPr="00AC3FAE">
        <w:t xml:space="preserve"> </w:t>
      </w:r>
      <w:proofErr w:type="spellStart"/>
      <w:r w:rsidR="002D2A81" w:rsidRPr="00AC3FAE">
        <w:t>or</w:t>
      </w:r>
      <w:proofErr w:type="spellEnd"/>
      <w:r w:rsidR="002D2A81" w:rsidRPr="00AC3FAE">
        <w:t xml:space="preserve"> </w:t>
      </w:r>
      <w:proofErr w:type="spellStart"/>
      <w:r w:rsidR="002D2A81" w:rsidRPr="00AC3FAE">
        <w:t>Horizontal</w:t>
      </w:r>
      <w:proofErr w:type="spellEnd"/>
      <w:r w:rsidR="002D2A81" w:rsidRPr="00AC3FAE">
        <w:t xml:space="preserve"> </w:t>
      </w:r>
      <w:proofErr w:type="spellStart"/>
      <w:r w:rsidR="002D2A81" w:rsidRPr="00AC3FAE">
        <w:t>Accountability</w:t>
      </w:r>
      <w:proofErr w:type="spellEnd"/>
      <w:r w:rsidR="002D2A81" w:rsidRPr="00AC3FAE">
        <w:t xml:space="preserve">: </w:t>
      </w:r>
      <w:proofErr w:type="spellStart"/>
      <w:r w:rsidR="002D2A81" w:rsidRPr="00AC3FAE">
        <w:t>Constitutional</w:t>
      </w:r>
      <w:proofErr w:type="spellEnd"/>
      <w:r w:rsidR="002D2A81" w:rsidRPr="00AC3FAE">
        <w:t xml:space="preserve"> </w:t>
      </w:r>
      <w:proofErr w:type="spellStart"/>
      <w:r w:rsidR="002D2A81" w:rsidRPr="00AC3FAE">
        <w:t>Review</w:t>
      </w:r>
      <w:proofErr w:type="spellEnd"/>
      <w:r w:rsidR="002D2A81" w:rsidRPr="00AC3FAE">
        <w:t xml:space="preserve"> in </w:t>
      </w:r>
      <w:proofErr w:type="spellStart"/>
      <w:r w:rsidR="002D2A81" w:rsidRPr="00AC3FAE">
        <w:t>Turkey</w:t>
      </w:r>
      <w:proofErr w:type="spellEnd"/>
      <w:r w:rsidR="001C6B6E" w:rsidRPr="00AC3FAE">
        <w:t>”</w:t>
      </w:r>
      <w:r w:rsidR="002D2A81" w:rsidRPr="00AC3FAE">
        <w:t xml:space="preserve">, </w:t>
      </w:r>
      <w:r w:rsidR="002D2A81" w:rsidRPr="00AC3FAE">
        <w:rPr>
          <w:i/>
          <w:iCs/>
        </w:rPr>
        <w:t xml:space="preserve">International </w:t>
      </w:r>
      <w:proofErr w:type="spellStart"/>
      <w:r w:rsidR="002D2A81" w:rsidRPr="00AC3FAE">
        <w:rPr>
          <w:i/>
          <w:iCs/>
        </w:rPr>
        <w:t>Political</w:t>
      </w:r>
      <w:proofErr w:type="spellEnd"/>
      <w:r w:rsidR="002D2A81" w:rsidRPr="00AC3FAE">
        <w:rPr>
          <w:i/>
          <w:iCs/>
        </w:rPr>
        <w:t xml:space="preserve"> </w:t>
      </w:r>
      <w:proofErr w:type="spellStart"/>
      <w:r w:rsidR="002D2A81" w:rsidRPr="00AC3FAE">
        <w:rPr>
          <w:i/>
          <w:iCs/>
        </w:rPr>
        <w:t>Science</w:t>
      </w:r>
      <w:proofErr w:type="spellEnd"/>
      <w:r w:rsidR="002D2A81" w:rsidRPr="00AC3FAE">
        <w:rPr>
          <w:i/>
          <w:iCs/>
        </w:rPr>
        <w:t xml:space="preserve"> </w:t>
      </w:r>
      <w:proofErr w:type="spellStart"/>
      <w:r w:rsidR="002D2A81" w:rsidRPr="00AC3FAE">
        <w:rPr>
          <w:i/>
          <w:iCs/>
        </w:rPr>
        <w:t>Review</w:t>
      </w:r>
      <w:proofErr w:type="spellEnd"/>
      <w:r w:rsidR="002D2A81" w:rsidRPr="00AC3FAE">
        <w:t xml:space="preserve">, </w:t>
      </w:r>
      <w:proofErr w:type="spellStart"/>
      <w:r w:rsidR="002D2A81" w:rsidRPr="00AC3FAE">
        <w:t>Vol</w:t>
      </w:r>
      <w:proofErr w:type="spellEnd"/>
      <w:r w:rsidR="002D2A81" w:rsidRPr="00AC3FAE">
        <w:t xml:space="preserve">. 33(4), </w:t>
      </w:r>
      <w:r w:rsidR="001C6B6E" w:rsidRPr="00AC3FAE">
        <w:t>(</w:t>
      </w:r>
      <w:r w:rsidR="002D2A81" w:rsidRPr="00AC3FAE">
        <w:t>2011</w:t>
      </w:r>
      <w:r w:rsidR="001C6B6E" w:rsidRPr="00AC3FAE">
        <w:t>)</w:t>
      </w:r>
      <w:r w:rsidR="002D2A81" w:rsidRPr="00AC3FAE">
        <w:t>, s. 421-440.</w:t>
      </w:r>
    </w:p>
  </w:footnote>
  <w:footnote w:id="24">
    <w:p w14:paraId="320A753A" w14:textId="4DCE0602" w:rsidR="00AC39E0" w:rsidRPr="00AC3FAE" w:rsidRDefault="00AC39E0" w:rsidP="001D4667">
      <w:pPr>
        <w:pStyle w:val="FootnoteText"/>
        <w:jc w:val="both"/>
      </w:pPr>
      <w:r w:rsidRPr="00AC3FAE">
        <w:rPr>
          <w:rStyle w:val="FootnoteReference"/>
        </w:rPr>
        <w:footnoteRef/>
      </w:r>
      <w:r w:rsidRPr="00AC3FAE">
        <w:t xml:space="preserve"> Osman Can</w:t>
      </w:r>
      <w:r w:rsidR="009A1CCC" w:rsidRPr="00AC3FAE">
        <w:t xml:space="preserve">, “Anayasa Yargısında Yokluk”, Serap Yazıcı, Kemal Gözler, Fuat </w:t>
      </w:r>
      <w:proofErr w:type="spellStart"/>
      <w:r w:rsidR="009A1CCC" w:rsidRPr="00AC3FAE">
        <w:t>Keyman</w:t>
      </w:r>
      <w:proofErr w:type="spellEnd"/>
      <w:r w:rsidR="009A1CCC" w:rsidRPr="00AC3FAE">
        <w:t xml:space="preserve"> (Ed.), </w:t>
      </w:r>
      <w:r w:rsidR="009A1CCC" w:rsidRPr="00AC3FAE">
        <w:rPr>
          <w:i/>
          <w:iCs/>
        </w:rPr>
        <w:t xml:space="preserve">Özbudun'a Armağan / </w:t>
      </w:r>
      <w:proofErr w:type="spellStart"/>
      <w:r w:rsidR="009A1CCC" w:rsidRPr="00AC3FAE">
        <w:rPr>
          <w:i/>
          <w:iCs/>
        </w:rPr>
        <w:t>Essays</w:t>
      </w:r>
      <w:proofErr w:type="spellEnd"/>
      <w:r w:rsidR="009A1CCC" w:rsidRPr="00AC3FAE">
        <w:rPr>
          <w:i/>
          <w:iCs/>
        </w:rPr>
        <w:t xml:space="preserve"> in </w:t>
      </w:r>
      <w:proofErr w:type="spellStart"/>
      <w:r w:rsidR="009A1CCC" w:rsidRPr="00AC3FAE">
        <w:rPr>
          <w:i/>
          <w:iCs/>
        </w:rPr>
        <w:t>Honor</w:t>
      </w:r>
      <w:proofErr w:type="spellEnd"/>
      <w:r w:rsidR="009A1CCC" w:rsidRPr="00AC3FAE">
        <w:rPr>
          <w:i/>
          <w:iCs/>
        </w:rPr>
        <w:t xml:space="preserve"> of Ergun Özbudun</w:t>
      </w:r>
      <w:r w:rsidR="009A1CCC" w:rsidRPr="00AC3FAE">
        <w:t>, (Yetkin 2008)</w:t>
      </w:r>
      <w:r w:rsidR="001D4667" w:rsidRPr="00AC3FAE">
        <w:t xml:space="preserve">, s. </w:t>
      </w:r>
      <w:r w:rsidR="009A1CCC" w:rsidRPr="00AC3FAE">
        <w:t>175-215.</w:t>
      </w:r>
    </w:p>
  </w:footnote>
  <w:footnote w:id="25">
    <w:p w14:paraId="55928D23" w14:textId="08DF5C15" w:rsidR="00AC39E0" w:rsidRPr="00AC3FAE" w:rsidRDefault="00AC39E0" w:rsidP="001D4667">
      <w:pPr>
        <w:pStyle w:val="FootnoteText"/>
        <w:jc w:val="both"/>
      </w:pPr>
      <w:r w:rsidRPr="00AC3FAE">
        <w:rPr>
          <w:rStyle w:val="FootnoteReference"/>
        </w:rPr>
        <w:footnoteRef/>
      </w:r>
      <w:r w:rsidRPr="00AC3FAE">
        <w:t xml:space="preserve"> Kemal Gözler</w:t>
      </w:r>
      <w:r w:rsidR="009A1CCC" w:rsidRPr="00AC3FAE">
        <w:t xml:space="preserve">, Cumhurbaşkanının AYM üyesi atamaması gerektiğini, bunun tek başına yaptığı hukuki işlem niteliğinde olduğu için de herhangi bir sorumluluk söz konusu olmaksızın </w:t>
      </w:r>
      <w:proofErr w:type="spellStart"/>
      <w:r w:rsidR="009A1CCC" w:rsidRPr="00AC3FAE">
        <w:t>AYM’nin</w:t>
      </w:r>
      <w:proofErr w:type="spellEnd"/>
      <w:r w:rsidR="009A1CCC" w:rsidRPr="00AC3FAE">
        <w:t xml:space="preserve"> kapatılması gerektiğini önermiştir. Kemal Gözler, </w:t>
      </w:r>
      <w:r w:rsidR="009A1CCC" w:rsidRPr="00AC3FAE">
        <w:rPr>
          <w:i/>
          <w:iCs/>
        </w:rPr>
        <w:t>Türk Anayasa Hukuku</w:t>
      </w:r>
      <w:r w:rsidR="009A1CCC" w:rsidRPr="00AC3FAE">
        <w:t>, (Ekin 2000).</w:t>
      </w:r>
    </w:p>
  </w:footnote>
  <w:footnote w:id="26">
    <w:p w14:paraId="307E0DD8" w14:textId="77777777" w:rsidR="001D4667" w:rsidRPr="00AC3FAE" w:rsidRDefault="001D4667" w:rsidP="001D4667">
      <w:pPr>
        <w:pStyle w:val="FootnoteText"/>
        <w:jc w:val="both"/>
      </w:pPr>
      <w:r w:rsidRPr="00AC3FAE">
        <w:rPr>
          <w:rStyle w:val="FootnoteReference"/>
        </w:rPr>
        <w:footnoteRef/>
      </w:r>
      <w:r w:rsidRPr="00AC3FAE">
        <w:t xml:space="preserve"> Burada “ruh” teolojik ve metafizik anlamıyla değil, teleolojik öz anlamıyla kullanıldı.</w:t>
      </w:r>
    </w:p>
  </w:footnote>
  <w:footnote w:id="27">
    <w:p w14:paraId="2DC6C25E" w14:textId="18C33F40" w:rsidR="001D4667" w:rsidRPr="00AC3FAE" w:rsidRDefault="001D4667">
      <w:pPr>
        <w:pStyle w:val="FootnoteText"/>
      </w:pPr>
      <w:r w:rsidRPr="00AC3FAE">
        <w:rPr>
          <w:rStyle w:val="FootnoteReference"/>
        </w:rPr>
        <w:footnoteRef/>
      </w:r>
      <w:r w:rsidRPr="00AC3FAE">
        <w:t xml:space="preserve"> Kemal Gözler, “</w:t>
      </w:r>
      <w:proofErr w:type="spellStart"/>
      <w:r w:rsidRPr="00AC3FAE">
        <w:t>anayasasızlaştırma</w:t>
      </w:r>
      <w:proofErr w:type="spellEnd"/>
      <w:r w:rsidRPr="00AC3FAE">
        <w:t xml:space="preserve">” kavramını Anayasa’ya aykırılıkları örneklendirerek açıklar. Oysa bu yaklaşımın anayasaya aykırı olmayan </w:t>
      </w:r>
      <w:proofErr w:type="spellStart"/>
      <w:r w:rsidRPr="00AC3FAE">
        <w:t>anayasasızlaştırma</w:t>
      </w:r>
      <w:proofErr w:type="spellEnd"/>
      <w:r w:rsidRPr="00AC3FAE">
        <w:t xml:space="preserve"> faktörleriyle de çözümlenerek ilerletilmesi gerekir. Burada yapılan budur. Bkz. Gözler, </w:t>
      </w:r>
      <w:r w:rsidRPr="00AC3FAE">
        <w:rPr>
          <w:i/>
          <w:iCs/>
        </w:rPr>
        <w:t xml:space="preserve">1982 Anayasası Hâlâ Yürürlükte </w:t>
      </w:r>
      <w:proofErr w:type="gramStart"/>
      <w:r w:rsidRPr="00AC3FAE">
        <w:rPr>
          <w:i/>
          <w:iCs/>
        </w:rPr>
        <w:t>Mi?,</w:t>
      </w:r>
      <w:proofErr w:type="gramEnd"/>
      <w:r w:rsidRPr="00AC3FAE">
        <w:rPr>
          <w:i/>
          <w:iCs/>
        </w:rPr>
        <w:t xml:space="preserve"> op. </w:t>
      </w:r>
      <w:proofErr w:type="spellStart"/>
      <w:proofErr w:type="gramStart"/>
      <w:r w:rsidRPr="00AC3FAE">
        <w:rPr>
          <w:i/>
          <w:iCs/>
        </w:rPr>
        <w:t>cit</w:t>
      </w:r>
      <w:proofErr w:type="spellEnd"/>
      <w:proofErr w:type="gramEnd"/>
      <w:r w:rsidRPr="00AC3FAE">
        <w:rPr>
          <w:i/>
          <w:iCs/>
        </w:rPr>
        <w:t>.</w:t>
      </w:r>
    </w:p>
  </w:footnote>
  <w:footnote w:id="28">
    <w:p w14:paraId="5A0D7F85" w14:textId="73EFA16F" w:rsidR="00D4139A" w:rsidRPr="00AC3FAE" w:rsidRDefault="00D4139A" w:rsidP="001D4667">
      <w:pPr>
        <w:pStyle w:val="FootnoteText"/>
        <w:jc w:val="both"/>
      </w:pPr>
      <w:r w:rsidRPr="00AC3FAE">
        <w:rPr>
          <w:rStyle w:val="FootnoteReference"/>
        </w:rPr>
        <w:footnoteRef/>
      </w:r>
      <w:r w:rsidRPr="00AC3FAE">
        <w:t xml:space="preserve"> Söz konusu söylem, </w:t>
      </w:r>
      <w:r w:rsidR="00E81B91" w:rsidRPr="00AC3FAE">
        <w:t>Anayasa’nın 133’üncü maddesinde (1993 değişikliği öncesinde) “Radyo ve televizyon istasyonları, ancak Devlet eli ile kurulur” hükmü varken oğlunun bir özel televizyon kanalı kurduğu Turgut Öz</w:t>
      </w:r>
      <w:r w:rsidR="00CA1ADF">
        <w:t>a</w:t>
      </w:r>
      <w:r w:rsidR="00E81B91" w:rsidRPr="00AC3FAE">
        <w:t>l tarafından dile getirilmiştir.</w:t>
      </w:r>
    </w:p>
  </w:footnote>
  <w:footnote w:id="29">
    <w:p w14:paraId="60B86871" w14:textId="67F80D97" w:rsidR="005B4104" w:rsidRPr="00AC3FAE" w:rsidRDefault="005B4104" w:rsidP="001D4667">
      <w:pPr>
        <w:pStyle w:val="FootnoteText"/>
        <w:jc w:val="both"/>
      </w:pPr>
      <w:r w:rsidRPr="00AC3FAE">
        <w:rPr>
          <w:rStyle w:val="FootnoteReference"/>
        </w:rPr>
        <w:footnoteRef/>
      </w:r>
      <w:r w:rsidRPr="00AC3FAE">
        <w:t xml:space="preserve"> </w:t>
      </w:r>
      <w:r w:rsidR="00E81B91" w:rsidRPr="00AC3FAE">
        <w:t xml:space="preserve">Aslında Anayasa hükümlerinin çoğunun yaptırımsız </w:t>
      </w:r>
      <w:r w:rsidR="00203832" w:rsidRPr="00AC3FAE">
        <w:t>norm (</w:t>
      </w:r>
      <w:r w:rsidR="00E81B91" w:rsidRPr="00AC3FAE">
        <w:t>“</w:t>
      </w:r>
      <w:proofErr w:type="spellStart"/>
      <w:r w:rsidR="00E81B91" w:rsidRPr="00AC3FAE">
        <w:rPr>
          <w:i/>
          <w:iCs/>
        </w:rPr>
        <w:t>lex</w:t>
      </w:r>
      <w:proofErr w:type="spellEnd"/>
      <w:r w:rsidR="00E81B91" w:rsidRPr="00AC3FAE">
        <w:rPr>
          <w:i/>
          <w:iCs/>
        </w:rPr>
        <w:t xml:space="preserve"> </w:t>
      </w:r>
      <w:proofErr w:type="spellStart"/>
      <w:r w:rsidR="00E81B91" w:rsidRPr="00AC3FAE">
        <w:rPr>
          <w:i/>
          <w:iCs/>
        </w:rPr>
        <w:t>imperfecta</w:t>
      </w:r>
      <w:proofErr w:type="spellEnd"/>
      <w:r w:rsidR="00E81B91" w:rsidRPr="00AC3FAE">
        <w:t>”</w:t>
      </w:r>
      <w:r w:rsidR="00203832" w:rsidRPr="00AC3FAE">
        <w:t xml:space="preserve">) </w:t>
      </w:r>
      <w:r w:rsidR="00E81B91" w:rsidRPr="00AC3FAE">
        <w:t>kalmasının nedeni “organ ihtilafı” (</w:t>
      </w:r>
      <w:proofErr w:type="spellStart"/>
      <w:r w:rsidR="00E81B91" w:rsidRPr="00AC3FAE">
        <w:rPr>
          <w:i/>
          <w:iCs/>
        </w:rPr>
        <w:t>Organstreit</w:t>
      </w:r>
      <w:proofErr w:type="spellEnd"/>
      <w:r w:rsidR="00E81B91" w:rsidRPr="00AC3FAE">
        <w:t>) benzeri bir tespit mekanizmasının dahi bulunmamasından ileri gelir.</w:t>
      </w:r>
    </w:p>
  </w:footnote>
  <w:footnote w:id="30">
    <w:p w14:paraId="5D0F750F" w14:textId="37B2418C" w:rsidR="009D730E" w:rsidRPr="00AC3FAE" w:rsidRDefault="009D730E" w:rsidP="001D4667">
      <w:pPr>
        <w:pStyle w:val="FootnoteText"/>
        <w:jc w:val="both"/>
      </w:pPr>
      <w:r w:rsidRPr="00AC3FAE">
        <w:rPr>
          <w:rStyle w:val="FootnoteReference"/>
        </w:rPr>
        <w:footnoteRef/>
      </w:r>
      <w:r w:rsidRPr="00AC3FAE">
        <w:t xml:space="preserve"> AYM, E. 2018/31, K. 2020/38, T. 16/07/2020.</w:t>
      </w:r>
    </w:p>
  </w:footnote>
  <w:footnote w:id="31">
    <w:p w14:paraId="0AD2DB50" w14:textId="0C3B1CCF" w:rsidR="009D730E" w:rsidRPr="00AC3FAE" w:rsidRDefault="009D730E" w:rsidP="001D4667">
      <w:pPr>
        <w:pStyle w:val="FootnoteText"/>
        <w:jc w:val="both"/>
      </w:pPr>
      <w:r w:rsidRPr="00AC3FAE">
        <w:rPr>
          <w:rStyle w:val="FootnoteReference"/>
        </w:rPr>
        <w:footnoteRef/>
      </w:r>
      <w:r w:rsidRPr="00AC3FAE">
        <w:t xml:space="preserve"> Buradaki “gibi” ifadesinin nedeni, Mahkemenin, bu düzenlemenin “cezasızlık” anlamına gelmediğine dönük tartışmalı yorumudur.</w:t>
      </w:r>
    </w:p>
  </w:footnote>
  <w:footnote w:id="32">
    <w:p w14:paraId="083FDF85" w14:textId="3AE4F0EC" w:rsidR="006855C6" w:rsidRPr="00AC3FAE" w:rsidRDefault="006855C6" w:rsidP="001D4667">
      <w:pPr>
        <w:pStyle w:val="FootnoteText"/>
        <w:jc w:val="both"/>
      </w:pPr>
      <w:r w:rsidRPr="00AC3FAE">
        <w:rPr>
          <w:rStyle w:val="FootnoteReference"/>
        </w:rPr>
        <w:footnoteRef/>
      </w:r>
      <w:r w:rsidRPr="00AC3FAE">
        <w:t xml:space="preserve"> Bu konuda bkz. Tolga Şirin, "Anayasa Mahkemesinin Şahin Alpay Kararına İlişkin Değerlendirmeler",</w:t>
      </w:r>
      <w:r w:rsidR="00AF4E09" w:rsidRPr="00AC3FAE">
        <w:t xml:space="preserve"> </w:t>
      </w:r>
      <w:r w:rsidRPr="00AC3FAE">
        <w:rPr>
          <w:i/>
          <w:iCs/>
        </w:rPr>
        <w:t>Anayasa Hukuku Dergisi</w:t>
      </w:r>
      <w:r w:rsidRPr="00AC3FAE">
        <w:t xml:space="preserve">, </w:t>
      </w:r>
      <w:proofErr w:type="spellStart"/>
      <w:r w:rsidRPr="00AC3FAE">
        <w:t>Vol</w:t>
      </w:r>
      <w:proofErr w:type="spellEnd"/>
      <w:r w:rsidRPr="00AC3FAE">
        <w:t>. 7</w:t>
      </w:r>
      <w:r w:rsidR="002D2A81" w:rsidRPr="00AC3FAE">
        <w:t>(</w:t>
      </w:r>
      <w:r w:rsidRPr="00AC3FAE">
        <w:t xml:space="preserve">13), </w:t>
      </w:r>
      <w:r w:rsidR="008424EA" w:rsidRPr="00AC3FAE">
        <w:t>(</w:t>
      </w:r>
      <w:r w:rsidRPr="00AC3FAE">
        <w:t>2018</w:t>
      </w:r>
      <w:r w:rsidR="008424EA" w:rsidRPr="00AC3FAE">
        <w:t>)</w:t>
      </w:r>
      <w:r w:rsidRPr="00AC3FAE">
        <w:t xml:space="preserve">, s. 245-267. Ayrıca bkz. Tolga Şirin, "İnsan Hakları Mahkemesinin Selahattin Demirtaş Kararı Hakkında Notlar”, 22/11/2018. </w:t>
      </w:r>
      <w:hyperlink r:id="rId5" w:history="1">
        <w:r w:rsidRPr="00AC3FAE">
          <w:rPr>
            <w:rStyle w:val="Hyperlink"/>
          </w:rPr>
          <w:t>https://www.tolgasirin.com/post/demirtas</w:t>
        </w:r>
      </w:hyperlink>
      <w:r w:rsidRPr="00AC3FAE">
        <w:t xml:space="preserve"> </w:t>
      </w:r>
      <w:proofErr w:type="spellStart"/>
      <w:r w:rsidR="00E81B91" w:rsidRPr="00AC3FAE">
        <w:t>İHAM’ın</w:t>
      </w:r>
      <w:proofErr w:type="spellEnd"/>
      <w:r w:rsidR="00E81B91" w:rsidRPr="00AC3FAE">
        <w:t xml:space="preserve"> etki gücünü azaltmaya dönük diğer teknikler konusunda bkz. Jan </w:t>
      </w:r>
      <w:proofErr w:type="spellStart"/>
      <w:r w:rsidR="00E81B91" w:rsidRPr="00AC3FAE">
        <w:t>Petrov</w:t>
      </w:r>
      <w:proofErr w:type="spellEnd"/>
      <w:r w:rsidR="00E81B91" w:rsidRPr="00AC3FAE">
        <w:t>, “</w:t>
      </w:r>
      <w:proofErr w:type="spellStart"/>
      <w:r w:rsidR="00E81B91" w:rsidRPr="00AC3FAE">
        <w:t>The</w:t>
      </w:r>
      <w:proofErr w:type="spellEnd"/>
      <w:r w:rsidR="00E81B91" w:rsidRPr="00AC3FAE">
        <w:t xml:space="preserve"> </w:t>
      </w:r>
      <w:proofErr w:type="spellStart"/>
      <w:r w:rsidR="00E81B91" w:rsidRPr="00AC3FAE">
        <w:t>Populist</w:t>
      </w:r>
      <w:proofErr w:type="spellEnd"/>
      <w:r w:rsidR="00E81B91" w:rsidRPr="00AC3FAE">
        <w:t xml:space="preserve"> Challenge </w:t>
      </w:r>
      <w:proofErr w:type="spellStart"/>
      <w:r w:rsidR="00E81B91" w:rsidRPr="00AC3FAE">
        <w:t>to</w:t>
      </w:r>
      <w:proofErr w:type="spellEnd"/>
      <w:r w:rsidR="00E81B91" w:rsidRPr="00AC3FAE">
        <w:t xml:space="preserve"> </w:t>
      </w:r>
      <w:proofErr w:type="spellStart"/>
      <w:r w:rsidR="00E81B91" w:rsidRPr="00AC3FAE">
        <w:t>the</w:t>
      </w:r>
      <w:proofErr w:type="spellEnd"/>
      <w:r w:rsidR="00E81B91" w:rsidRPr="00AC3FAE">
        <w:t xml:space="preserve"> </w:t>
      </w:r>
      <w:proofErr w:type="spellStart"/>
      <w:r w:rsidR="00E81B91" w:rsidRPr="00AC3FAE">
        <w:t>European</w:t>
      </w:r>
      <w:proofErr w:type="spellEnd"/>
      <w:r w:rsidR="00E81B91" w:rsidRPr="00AC3FAE">
        <w:t xml:space="preserve"> Court of Human </w:t>
      </w:r>
      <w:proofErr w:type="spellStart"/>
      <w:r w:rsidR="00E81B91" w:rsidRPr="00AC3FAE">
        <w:t>Rights</w:t>
      </w:r>
      <w:proofErr w:type="spellEnd"/>
      <w:r w:rsidR="00E81B91" w:rsidRPr="00AC3FAE">
        <w:t xml:space="preserve">”, </w:t>
      </w:r>
      <w:r w:rsidR="00E81B91" w:rsidRPr="00AC3FAE">
        <w:rPr>
          <w:i/>
          <w:iCs/>
        </w:rPr>
        <w:t xml:space="preserve">International </w:t>
      </w:r>
      <w:proofErr w:type="spellStart"/>
      <w:r w:rsidR="00E81B91" w:rsidRPr="00AC3FAE">
        <w:rPr>
          <w:i/>
          <w:iCs/>
        </w:rPr>
        <w:t>Journal</w:t>
      </w:r>
      <w:proofErr w:type="spellEnd"/>
      <w:r w:rsidR="00E81B91" w:rsidRPr="00AC3FAE">
        <w:rPr>
          <w:i/>
          <w:iCs/>
        </w:rPr>
        <w:t xml:space="preserve"> of </w:t>
      </w:r>
      <w:proofErr w:type="spellStart"/>
      <w:r w:rsidR="00E81B91" w:rsidRPr="00AC3FAE">
        <w:rPr>
          <w:i/>
          <w:iCs/>
        </w:rPr>
        <w:t>Constitutional</w:t>
      </w:r>
      <w:proofErr w:type="spellEnd"/>
      <w:r w:rsidR="00E81B91" w:rsidRPr="00AC3FAE">
        <w:t xml:space="preserve"> </w:t>
      </w:r>
      <w:proofErr w:type="spellStart"/>
      <w:r w:rsidR="00E81B91" w:rsidRPr="00AC3FAE">
        <w:rPr>
          <w:i/>
          <w:iCs/>
        </w:rPr>
        <w:t>Law</w:t>
      </w:r>
      <w:proofErr w:type="spellEnd"/>
      <w:r w:rsidR="00E81B91" w:rsidRPr="00AC3FAE">
        <w:t xml:space="preserve">, </w:t>
      </w:r>
      <w:proofErr w:type="spellStart"/>
      <w:r w:rsidR="00E81B91" w:rsidRPr="00AC3FAE">
        <w:t>Vol</w:t>
      </w:r>
      <w:proofErr w:type="spellEnd"/>
      <w:r w:rsidR="00E81B91" w:rsidRPr="00AC3FAE">
        <w:t xml:space="preserve"> 18(2), (2020), s. 476–508.</w:t>
      </w:r>
    </w:p>
  </w:footnote>
  <w:footnote w:id="33">
    <w:p w14:paraId="0F05C03B" w14:textId="0D40A4CE" w:rsidR="006855C6" w:rsidRPr="00AC3FAE" w:rsidRDefault="006855C6" w:rsidP="001D4667">
      <w:pPr>
        <w:pStyle w:val="FootnoteText"/>
        <w:jc w:val="both"/>
      </w:pPr>
      <w:r w:rsidRPr="00AC3FAE">
        <w:rPr>
          <w:rStyle w:val="FootnoteReference"/>
        </w:rPr>
        <w:footnoteRef/>
      </w:r>
      <w:r w:rsidRPr="00AC3FAE">
        <w:t xml:space="preserve"> Buradaki </w:t>
      </w:r>
      <w:r w:rsidR="00E81B91" w:rsidRPr="00AC3FAE">
        <w:t>“</w:t>
      </w:r>
      <w:r w:rsidRPr="00AC3FAE">
        <w:t>gibidir</w:t>
      </w:r>
      <w:r w:rsidR="00E81B91" w:rsidRPr="00AC3FAE">
        <w:t>”</w:t>
      </w:r>
      <w:r w:rsidRPr="00AC3FAE">
        <w:t xml:space="preserve"> kaydı da söz konusu kararların sonradan yerine getirilmiş </w:t>
      </w:r>
      <w:r w:rsidR="00E81B91" w:rsidRPr="00AC3FAE">
        <w:t>olmasından ileri geliyor</w:t>
      </w:r>
      <w:r w:rsidRPr="00AC3FAE">
        <w:t>.</w:t>
      </w:r>
    </w:p>
  </w:footnote>
  <w:footnote w:id="34">
    <w:p w14:paraId="71BB7F7D" w14:textId="51D9B1D5" w:rsidR="00B07B66" w:rsidRPr="00AC3FAE" w:rsidRDefault="00B07B66" w:rsidP="001D4667">
      <w:pPr>
        <w:pStyle w:val="FootnoteText"/>
        <w:jc w:val="both"/>
      </w:pPr>
      <w:r w:rsidRPr="00AC3FAE">
        <w:rPr>
          <w:rStyle w:val="FootnoteReference"/>
        </w:rPr>
        <w:footnoteRef/>
      </w:r>
      <w:r w:rsidRPr="00AC3FAE">
        <w:t xml:space="preserve"> </w:t>
      </w:r>
      <w:proofErr w:type="spellStart"/>
      <w:r w:rsidRPr="00AC3FAE">
        <w:t>Habermas’ın</w:t>
      </w:r>
      <w:proofErr w:type="spellEnd"/>
      <w:r w:rsidRPr="00AC3FAE">
        <w:t xml:space="preserve"> “anayasal yurtseverlik” savı için Türkçede bkz. </w:t>
      </w:r>
      <w:r w:rsidR="002D2A81" w:rsidRPr="00AC3FAE">
        <w:t>Jan-</w:t>
      </w:r>
      <w:proofErr w:type="spellStart"/>
      <w:r w:rsidR="002D2A81" w:rsidRPr="00AC3FAE">
        <w:t>Werner</w:t>
      </w:r>
      <w:proofErr w:type="spellEnd"/>
      <w:r w:rsidR="002D2A81" w:rsidRPr="00AC3FAE">
        <w:t xml:space="preserve"> </w:t>
      </w:r>
      <w:proofErr w:type="spellStart"/>
      <w:r w:rsidR="002D2A81" w:rsidRPr="00AC3FAE">
        <w:t>Müller</w:t>
      </w:r>
      <w:proofErr w:type="spellEnd"/>
      <w:r w:rsidR="002D2A81" w:rsidRPr="00AC3FAE">
        <w:t xml:space="preserve">, </w:t>
      </w:r>
      <w:r w:rsidR="002D2A81" w:rsidRPr="00AC3FAE">
        <w:rPr>
          <w:i/>
          <w:iCs/>
        </w:rPr>
        <w:t>Anayasal Yurtseverlik</w:t>
      </w:r>
      <w:r w:rsidR="002D2A81" w:rsidRPr="00AC3FAE">
        <w:t>, A. Emre Zeybekoğlu (çev.), (Dost</w:t>
      </w:r>
      <w:r w:rsidR="00AF4E09" w:rsidRPr="00AC3FAE">
        <w:t xml:space="preserve"> </w:t>
      </w:r>
      <w:r w:rsidR="002D2A81" w:rsidRPr="00AC3FAE">
        <w:t>2012).</w:t>
      </w:r>
    </w:p>
  </w:footnote>
  <w:footnote w:id="35">
    <w:p w14:paraId="24D74540" w14:textId="3CB074D3" w:rsidR="00B07B66" w:rsidRPr="00AC3FAE" w:rsidRDefault="00B07B66" w:rsidP="001D4667">
      <w:pPr>
        <w:pStyle w:val="FootnoteText"/>
        <w:jc w:val="both"/>
      </w:pPr>
      <w:r w:rsidRPr="00AC3FAE">
        <w:rPr>
          <w:rStyle w:val="FootnoteReference"/>
        </w:rPr>
        <w:footnoteRef/>
      </w:r>
      <w:r w:rsidRPr="00AC3FAE">
        <w:t xml:space="preserve"> </w:t>
      </w:r>
      <w:proofErr w:type="spellStart"/>
      <w:r w:rsidR="002D2A81" w:rsidRPr="00AC3FAE">
        <w:t>Eoin</w:t>
      </w:r>
      <w:proofErr w:type="spellEnd"/>
      <w:r w:rsidR="002D2A81" w:rsidRPr="00AC3FAE">
        <w:t xml:space="preserve"> </w:t>
      </w:r>
      <w:proofErr w:type="spellStart"/>
      <w:r w:rsidR="002D2A81" w:rsidRPr="00AC3FAE">
        <w:t>Daly</w:t>
      </w:r>
      <w:proofErr w:type="spellEnd"/>
      <w:r w:rsidR="002D2A81" w:rsidRPr="00AC3FAE">
        <w:t xml:space="preserve">, </w:t>
      </w:r>
      <w:proofErr w:type="spellStart"/>
      <w:r w:rsidR="002D2A81" w:rsidRPr="00AC3FAE">
        <w:rPr>
          <w:i/>
          <w:iCs/>
        </w:rPr>
        <w:t>Rousseau's</w:t>
      </w:r>
      <w:proofErr w:type="spellEnd"/>
      <w:r w:rsidR="002D2A81" w:rsidRPr="00AC3FAE">
        <w:rPr>
          <w:i/>
          <w:iCs/>
        </w:rPr>
        <w:t xml:space="preserve"> </w:t>
      </w:r>
      <w:proofErr w:type="spellStart"/>
      <w:r w:rsidR="002D2A81" w:rsidRPr="00AC3FAE">
        <w:rPr>
          <w:i/>
          <w:iCs/>
        </w:rPr>
        <w:t>Constitutionalism</w:t>
      </w:r>
      <w:proofErr w:type="spellEnd"/>
      <w:r w:rsidR="002D2A81" w:rsidRPr="00AC3FAE">
        <w:rPr>
          <w:i/>
          <w:iCs/>
        </w:rPr>
        <w:t xml:space="preserve"> </w:t>
      </w:r>
      <w:proofErr w:type="spellStart"/>
      <w:r w:rsidR="002D2A81" w:rsidRPr="00AC3FAE">
        <w:rPr>
          <w:i/>
          <w:iCs/>
        </w:rPr>
        <w:t>Austerity</w:t>
      </w:r>
      <w:proofErr w:type="spellEnd"/>
      <w:r w:rsidR="002D2A81" w:rsidRPr="00AC3FAE">
        <w:rPr>
          <w:i/>
          <w:iCs/>
        </w:rPr>
        <w:t xml:space="preserve"> </w:t>
      </w:r>
      <w:proofErr w:type="spellStart"/>
      <w:r w:rsidR="002D2A81" w:rsidRPr="00AC3FAE">
        <w:rPr>
          <w:i/>
          <w:iCs/>
        </w:rPr>
        <w:t>and</w:t>
      </w:r>
      <w:proofErr w:type="spellEnd"/>
      <w:r w:rsidR="002D2A81" w:rsidRPr="00AC3FAE">
        <w:rPr>
          <w:i/>
          <w:iCs/>
        </w:rPr>
        <w:t xml:space="preserve"> </w:t>
      </w:r>
      <w:proofErr w:type="spellStart"/>
      <w:r w:rsidR="002D2A81" w:rsidRPr="00AC3FAE">
        <w:rPr>
          <w:i/>
          <w:iCs/>
        </w:rPr>
        <w:t>Republican</w:t>
      </w:r>
      <w:proofErr w:type="spellEnd"/>
      <w:r w:rsidR="002D2A81" w:rsidRPr="00AC3FAE">
        <w:rPr>
          <w:i/>
          <w:iCs/>
        </w:rPr>
        <w:t xml:space="preserve"> </w:t>
      </w:r>
      <w:proofErr w:type="spellStart"/>
      <w:r w:rsidR="002D2A81" w:rsidRPr="00AC3FAE">
        <w:rPr>
          <w:i/>
          <w:iCs/>
        </w:rPr>
        <w:t>Freedom</w:t>
      </w:r>
      <w:proofErr w:type="spellEnd"/>
      <w:r w:rsidR="002D2A81" w:rsidRPr="00AC3FAE">
        <w:t>, (Hart</w:t>
      </w:r>
      <w:r w:rsidR="00AF4E09" w:rsidRPr="00AC3FAE">
        <w:t xml:space="preserve"> </w:t>
      </w:r>
      <w:r w:rsidR="002D2A81" w:rsidRPr="00AC3FAE">
        <w:t>2019)</w:t>
      </w:r>
      <w:r w:rsidR="00E81B91" w:rsidRPr="00AC3FAE">
        <w:t>.</w:t>
      </w:r>
    </w:p>
  </w:footnote>
  <w:footnote w:id="36">
    <w:p w14:paraId="7188707A" w14:textId="77777777" w:rsidR="00B07B66" w:rsidRPr="00AC3FAE" w:rsidRDefault="00B07B66" w:rsidP="001D4667">
      <w:pPr>
        <w:pStyle w:val="FootnoteText"/>
        <w:jc w:val="both"/>
      </w:pPr>
      <w:r w:rsidRPr="00AC3FAE">
        <w:rPr>
          <w:rStyle w:val="FootnoteReference"/>
        </w:rPr>
        <w:footnoteRef/>
      </w:r>
      <w:r w:rsidRPr="00AC3FAE">
        <w:t xml:space="preserve"> Hatta sosyalist perspektiften bir pencere açarak açıkça sınıf mücadelesi de diyebiliriz.  </w:t>
      </w:r>
    </w:p>
  </w:footnote>
  <w:footnote w:id="37">
    <w:p w14:paraId="1A4FFC6C" w14:textId="42010E4E" w:rsidR="00B07B66" w:rsidRPr="00AC3FAE" w:rsidRDefault="00B07B66" w:rsidP="001D4667">
      <w:pPr>
        <w:pStyle w:val="FootnoteText"/>
        <w:jc w:val="both"/>
      </w:pPr>
      <w:r w:rsidRPr="00AC3FAE">
        <w:rPr>
          <w:rStyle w:val="FootnoteReference"/>
        </w:rPr>
        <w:footnoteRef/>
      </w:r>
      <w:r w:rsidRPr="00AC3FAE">
        <w:t xml:space="preserve"> Acemoğlu </w:t>
      </w:r>
      <w:r w:rsidR="002D2A81" w:rsidRPr="00AC3FAE">
        <w:t xml:space="preserve">ve </w:t>
      </w:r>
      <w:proofErr w:type="spellStart"/>
      <w:r w:rsidR="002D2A81" w:rsidRPr="00AC3FAE">
        <w:t>Robinson</w:t>
      </w:r>
      <w:proofErr w:type="spellEnd"/>
      <w:r w:rsidR="002D2A81" w:rsidRPr="00AC3FAE">
        <w:t xml:space="preserve">, </w:t>
      </w:r>
      <w:r w:rsidRPr="00AC3FAE">
        <w:t xml:space="preserve">çok ses getiren </w:t>
      </w:r>
      <w:r w:rsidR="002D2A81" w:rsidRPr="00AC3FAE">
        <w:t>kitaplarında</w:t>
      </w:r>
      <w:r w:rsidRPr="00AC3FAE">
        <w:t xml:space="preserve"> </w:t>
      </w:r>
      <w:r w:rsidR="001A14CE" w:rsidRPr="00AC3FAE">
        <w:t xml:space="preserve">tartışmayı bu noktada toparlar. Bkz. </w:t>
      </w:r>
      <w:proofErr w:type="spellStart"/>
      <w:r w:rsidR="002D2A81" w:rsidRPr="00AC3FAE">
        <w:t>Daron</w:t>
      </w:r>
      <w:proofErr w:type="spellEnd"/>
      <w:r w:rsidR="002D2A81" w:rsidRPr="00AC3FAE">
        <w:t xml:space="preserve"> Acemoğlu ve James A. </w:t>
      </w:r>
      <w:proofErr w:type="spellStart"/>
      <w:r w:rsidR="002D2A81" w:rsidRPr="00AC3FAE">
        <w:t>Robinson</w:t>
      </w:r>
      <w:proofErr w:type="spellEnd"/>
      <w:r w:rsidR="002D2A81" w:rsidRPr="00AC3FAE">
        <w:t xml:space="preserve">, </w:t>
      </w:r>
      <w:r w:rsidR="002D2A81" w:rsidRPr="00AC3FAE">
        <w:rPr>
          <w:i/>
          <w:iCs/>
        </w:rPr>
        <w:t>Dar Koridor</w:t>
      </w:r>
      <w:r w:rsidR="002D2A81" w:rsidRPr="00AC3FAE">
        <w:t>, Yüksel Taşkın (çev.), (Doğan, 2020).</w:t>
      </w:r>
    </w:p>
  </w:footnote>
  <w:footnote w:id="38">
    <w:p w14:paraId="099377B5" w14:textId="77777777" w:rsidR="00B07B66" w:rsidRPr="00AC3FAE" w:rsidRDefault="00B07B66" w:rsidP="001D4667">
      <w:pPr>
        <w:pStyle w:val="FootnoteText"/>
        <w:jc w:val="both"/>
      </w:pPr>
      <w:r w:rsidRPr="00AC3FAE">
        <w:rPr>
          <w:rStyle w:val="FootnoteReference"/>
        </w:rPr>
        <w:footnoteRef/>
      </w:r>
      <w:r w:rsidRPr="00AC3FAE">
        <w:t xml:space="preserve"> Cumhuriyetçilerin medeni erdem için eğitime verdikleri merkezi önem de bir kurumsal örgütlenme gerekliliğidir.</w:t>
      </w:r>
    </w:p>
  </w:footnote>
  <w:footnote w:id="39">
    <w:p w14:paraId="1DC55164" w14:textId="3901AEAA" w:rsidR="00C95A17" w:rsidRPr="00AC3FAE" w:rsidRDefault="00C95A17" w:rsidP="001D4667">
      <w:pPr>
        <w:pStyle w:val="FootnoteText"/>
        <w:jc w:val="both"/>
      </w:pPr>
      <w:r w:rsidRPr="00AC3FAE">
        <w:rPr>
          <w:rStyle w:val="FootnoteReference"/>
        </w:rPr>
        <w:footnoteRef/>
      </w:r>
      <w:r w:rsidRPr="00AC3FAE">
        <w:t xml:space="preserve"> </w:t>
      </w:r>
      <w:r w:rsidR="002D2A81" w:rsidRPr="00AC3FAE">
        <w:t xml:space="preserve">Alexander Hamilton, James Madison ve John </w:t>
      </w:r>
      <w:proofErr w:type="spellStart"/>
      <w:r w:rsidR="002D2A81" w:rsidRPr="00AC3FAE">
        <w:t>Jay</w:t>
      </w:r>
      <w:proofErr w:type="spellEnd"/>
      <w:r w:rsidR="002D2A81" w:rsidRPr="00AC3FAE">
        <w:t xml:space="preserve">, </w:t>
      </w:r>
      <w:r w:rsidRPr="00AC3FAE">
        <w:rPr>
          <w:i/>
          <w:iCs/>
        </w:rPr>
        <w:t>Federalist Yazılar</w:t>
      </w:r>
      <w:r w:rsidRPr="00AC3FAE">
        <w:t xml:space="preserve">, Tolga Şirin ve Umut </w:t>
      </w:r>
      <w:proofErr w:type="spellStart"/>
      <w:r w:rsidRPr="00AC3FAE">
        <w:t>Orcan</w:t>
      </w:r>
      <w:proofErr w:type="spellEnd"/>
      <w:r w:rsidRPr="00AC3FAE">
        <w:t xml:space="preserve"> (çev.), (Runik, 2021).</w:t>
      </w:r>
    </w:p>
  </w:footnote>
  <w:footnote w:id="40">
    <w:p w14:paraId="5AB6C453" w14:textId="2E441AFF" w:rsidR="002E0984" w:rsidRPr="00AC3FAE" w:rsidRDefault="002E0984" w:rsidP="001D4667">
      <w:pPr>
        <w:pStyle w:val="FootnoteText"/>
        <w:jc w:val="both"/>
      </w:pPr>
      <w:r w:rsidRPr="00AC3FAE">
        <w:rPr>
          <w:rStyle w:val="FootnoteReference"/>
        </w:rPr>
        <w:footnoteRef/>
      </w:r>
      <w:r w:rsidRPr="00AC3FAE">
        <w:t xml:space="preserve"> Karma yönetimin bu mantığını antiklere kadar götürebiliriz. O kadar gitmek istemezsek </w:t>
      </w:r>
      <w:proofErr w:type="spellStart"/>
      <w:r w:rsidRPr="00AC3FAE">
        <w:t>Machiavelli’nin</w:t>
      </w:r>
      <w:proofErr w:type="spellEnd"/>
      <w:r w:rsidRPr="00AC3FAE">
        <w:t xml:space="preserve"> şu sözleri dahi yeterli sayılabilir: “Bana öyle geliyor ki halk ile soylular arasındaki çekişmeleri suçlayanlar, Roma’nın özgür kalmasını sağlayan ilk neden hakkında hatalıdırlar ve bu çekişenlerin iyi etkilerini düşünmekten çok, kavga ve gürültüye bunların neden olduğunu düşünmektedirler; her cumhuriyette halk ve zenginlerden oluşan iki karşıt hizip olduğunu, özgürlükten yana yapılan tüm yasaların, onların uyuşmazlıklarından çıktığını düşünmüyorlar.”. </w:t>
      </w:r>
      <w:proofErr w:type="spellStart"/>
      <w:r w:rsidRPr="00AC3FAE">
        <w:t>Nicollò</w:t>
      </w:r>
      <w:proofErr w:type="spellEnd"/>
      <w:r w:rsidRPr="00AC3FAE">
        <w:t xml:space="preserve"> </w:t>
      </w:r>
      <w:proofErr w:type="spellStart"/>
      <w:r w:rsidRPr="00AC3FAE">
        <w:t>Machiavelli</w:t>
      </w:r>
      <w:proofErr w:type="spellEnd"/>
      <w:r w:rsidRPr="00AC3FAE">
        <w:t xml:space="preserve">, </w:t>
      </w:r>
      <w:proofErr w:type="spellStart"/>
      <w:r w:rsidRPr="00AC3FAE">
        <w:rPr>
          <w:i/>
          <w:iCs/>
        </w:rPr>
        <w:t>Titus</w:t>
      </w:r>
      <w:proofErr w:type="spellEnd"/>
      <w:r w:rsidRPr="00AC3FAE">
        <w:rPr>
          <w:i/>
          <w:iCs/>
        </w:rPr>
        <w:t xml:space="preserve"> </w:t>
      </w:r>
      <w:proofErr w:type="spellStart"/>
      <w:r w:rsidRPr="00AC3FAE">
        <w:rPr>
          <w:i/>
          <w:iCs/>
        </w:rPr>
        <w:t>Livius’un</w:t>
      </w:r>
      <w:proofErr w:type="spellEnd"/>
      <w:r w:rsidRPr="00AC3FAE">
        <w:rPr>
          <w:i/>
          <w:iCs/>
        </w:rPr>
        <w:t xml:space="preserve"> İlk On Kitabı Üzerine Söylevler</w:t>
      </w:r>
      <w:r w:rsidRPr="00AC3FAE">
        <w:t>, Alev Tolga (çev.), (İstanbul: Say Yay., 2017), s. 38.</w:t>
      </w:r>
    </w:p>
  </w:footnote>
  <w:footnote w:id="41">
    <w:p w14:paraId="69D89287" w14:textId="5E27A847" w:rsidR="002E0984" w:rsidRPr="00AC3FAE" w:rsidRDefault="002E0984" w:rsidP="001D4667">
      <w:pPr>
        <w:pStyle w:val="FootnoteText"/>
        <w:jc w:val="both"/>
      </w:pPr>
      <w:r w:rsidRPr="00AC3FAE">
        <w:rPr>
          <w:rStyle w:val="FootnoteReference"/>
        </w:rPr>
        <w:footnoteRef/>
      </w:r>
      <w:r w:rsidRPr="00AC3FAE">
        <w:t xml:space="preserve"> Mark </w:t>
      </w:r>
      <w:proofErr w:type="spellStart"/>
      <w:r w:rsidRPr="00AC3FAE">
        <w:t>Tushnet</w:t>
      </w:r>
      <w:proofErr w:type="spellEnd"/>
      <w:r w:rsidRPr="00AC3FAE">
        <w:t xml:space="preserve">, parti içi hiziplerin de bir fren ve denge olabileceğine, Peru’daki </w:t>
      </w:r>
      <w:proofErr w:type="spellStart"/>
      <w:r w:rsidRPr="00AC3FAE">
        <w:t>Fujimorist</w:t>
      </w:r>
      <w:proofErr w:type="spellEnd"/>
      <w:r w:rsidRPr="00AC3FAE">
        <w:t xml:space="preserve"> çekişmelere atıfla dikkat çeker. </w:t>
      </w:r>
      <w:proofErr w:type="spellStart"/>
      <w:r w:rsidR="008424EA" w:rsidRPr="00AC3FAE">
        <w:t>Tushnet</w:t>
      </w:r>
      <w:proofErr w:type="spellEnd"/>
      <w:r w:rsidR="008424EA" w:rsidRPr="00AC3FAE">
        <w:t xml:space="preserve">, </w:t>
      </w:r>
      <w:proofErr w:type="spellStart"/>
      <w:r w:rsidR="008424EA" w:rsidRPr="00AC3FAE">
        <w:rPr>
          <w:i/>
          <w:iCs/>
        </w:rPr>
        <w:t>The</w:t>
      </w:r>
      <w:proofErr w:type="spellEnd"/>
      <w:r w:rsidR="008424EA" w:rsidRPr="00AC3FAE">
        <w:rPr>
          <w:i/>
          <w:iCs/>
        </w:rPr>
        <w:t xml:space="preserve"> New </w:t>
      </w:r>
      <w:proofErr w:type="spellStart"/>
      <w:r w:rsidR="008424EA" w:rsidRPr="00AC3FAE">
        <w:rPr>
          <w:i/>
          <w:iCs/>
        </w:rPr>
        <w:t>Fourth</w:t>
      </w:r>
      <w:proofErr w:type="spellEnd"/>
      <w:r w:rsidR="008424EA" w:rsidRPr="00AC3FAE">
        <w:rPr>
          <w:i/>
          <w:iCs/>
        </w:rPr>
        <w:t xml:space="preserve"> </w:t>
      </w:r>
      <w:proofErr w:type="spellStart"/>
      <w:r w:rsidR="008424EA" w:rsidRPr="00AC3FAE">
        <w:rPr>
          <w:i/>
          <w:iCs/>
        </w:rPr>
        <w:t>Branch</w:t>
      </w:r>
      <w:proofErr w:type="spellEnd"/>
      <w:r w:rsidR="008424EA" w:rsidRPr="00AC3FAE">
        <w:t>, s. 13 vd.</w:t>
      </w:r>
    </w:p>
  </w:footnote>
  <w:footnote w:id="42">
    <w:p w14:paraId="24A15809" w14:textId="5D670448" w:rsidR="008F13F5" w:rsidRPr="00AC3FAE" w:rsidRDefault="008F13F5" w:rsidP="001D4667">
      <w:pPr>
        <w:pStyle w:val="FootnoteText"/>
        <w:jc w:val="both"/>
      </w:pPr>
      <w:r w:rsidRPr="00AC3FAE">
        <w:rPr>
          <w:rStyle w:val="FootnoteReference"/>
        </w:rPr>
        <w:footnoteRef/>
      </w:r>
      <w:r w:rsidRPr="00AC3FAE">
        <w:t xml:space="preserve"> Carl </w:t>
      </w:r>
      <w:proofErr w:type="spellStart"/>
      <w:r w:rsidRPr="00AC3FAE">
        <w:t>Schmitt</w:t>
      </w:r>
      <w:proofErr w:type="spellEnd"/>
      <w:r w:rsidR="002D2A81" w:rsidRPr="00AC3FAE">
        <w:t xml:space="preserve">, </w:t>
      </w:r>
      <w:proofErr w:type="spellStart"/>
      <w:r w:rsidR="002D2A81" w:rsidRPr="00AC3FAE">
        <w:rPr>
          <w:i/>
          <w:iCs/>
        </w:rPr>
        <w:t>Hüter</w:t>
      </w:r>
      <w:proofErr w:type="spellEnd"/>
      <w:r w:rsidR="002D2A81" w:rsidRPr="00AC3FAE">
        <w:rPr>
          <w:i/>
          <w:iCs/>
        </w:rPr>
        <w:t xml:space="preserve"> der </w:t>
      </w:r>
      <w:proofErr w:type="spellStart"/>
      <w:r w:rsidR="002D2A81" w:rsidRPr="00AC3FAE">
        <w:rPr>
          <w:i/>
          <w:iCs/>
        </w:rPr>
        <w:t>Verfassung</w:t>
      </w:r>
      <w:proofErr w:type="spellEnd"/>
      <w:r w:rsidR="002D2A81" w:rsidRPr="00AC3FAE">
        <w:t>, (</w:t>
      </w:r>
      <w:proofErr w:type="spellStart"/>
      <w:r w:rsidR="002D2A81" w:rsidRPr="00AC3FAE">
        <w:t>Duncker</w:t>
      </w:r>
      <w:proofErr w:type="spellEnd"/>
      <w:r w:rsidR="002D2A81" w:rsidRPr="00AC3FAE">
        <w:t xml:space="preserve"> &amp; </w:t>
      </w:r>
      <w:proofErr w:type="spellStart"/>
      <w:r w:rsidR="002D2A81" w:rsidRPr="00AC3FAE">
        <w:t>Humblot</w:t>
      </w:r>
      <w:proofErr w:type="spellEnd"/>
      <w:r w:rsidR="00AF4E09" w:rsidRPr="00AC3FAE">
        <w:t xml:space="preserve"> </w:t>
      </w:r>
      <w:r w:rsidR="002D2A81" w:rsidRPr="00AC3FAE">
        <w:t xml:space="preserve">2016). </w:t>
      </w:r>
    </w:p>
  </w:footnote>
  <w:footnote w:id="43">
    <w:p w14:paraId="5F3A2245" w14:textId="75BDA13B" w:rsidR="008F13F5" w:rsidRPr="00AC3FAE" w:rsidRDefault="008F13F5" w:rsidP="001D4667">
      <w:pPr>
        <w:pStyle w:val="FootnoteText"/>
        <w:jc w:val="both"/>
      </w:pPr>
      <w:r w:rsidRPr="00AC3FAE">
        <w:rPr>
          <w:rStyle w:val="FootnoteReference"/>
        </w:rPr>
        <w:footnoteRef/>
      </w:r>
      <w:r w:rsidRPr="00AC3FAE">
        <w:t xml:space="preserve"> </w:t>
      </w:r>
      <w:proofErr w:type="spellStart"/>
      <w:r w:rsidRPr="00AC3FAE">
        <w:t>Hans</w:t>
      </w:r>
      <w:proofErr w:type="spellEnd"/>
      <w:r w:rsidRPr="00AC3FAE">
        <w:t xml:space="preserve"> Kelsen</w:t>
      </w:r>
      <w:r w:rsidR="002D2A81" w:rsidRPr="00AC3FAE">
        <w:t xml:space="preserve">, </w:t>
      </w:r>
      <w:proofErr w:type="spellStart"/>
      <w:r w:rsidR="002D2A81" w:rsidRPr="00AC3FAE">
        <w:rPr>
          <w:i/>
          <w:iCs/>
        </w:rPr>
        <w:t>Wer</w:t>
      </w:r>
      <w:proofErr w:type="spellEnd"/>
      <w:r w:rsidR="002D2A81" w:rsidRPr="00AC3FAE">
        <w:rPr>
          <w:i/>
          <w:iCs/>
        </w:rPr>
        <w:t xml:space="preserve"> </w:t>
      </w:r>
      <w:proofErr w:type="spellStart"/>
      <w:r w:rsidR="002D2A81" w:rsidRPr="00AC3FAE">
        <w:rPr>
          <w:i/>
          <w:iCs/>
        </w:rPr>
        <w:t>soll</w:t>
      </w:r>
      <w:proofErr w:type="spellEnd"/>
      <w:r w:rsidR="002D2A81" w:rsidRPr="00AC3FAE">
        <w:rPr>
          <w:i/>
          <w:iCs/>
        </w:rPr>
        <w:t xml:space="preserve"> der </w:t>
      </w:r>
      <w:proofErr w:type="spellStart"/>
      <w:r w:rsidR="002D2A81" w:rsidRPr="00AC3FAE">
        <w:rPr>
          <w:i/>
          <w:iCs/>
        </w:rPr>
        <w:t>Hüter</w:t>
      </w:r>
      <w:proofErr w:type="spellEnd"/>
      <w:r w:rsidR="002D2A81" w:rsidRPr="00AC3FAE">
        <w:rPr>
          <w:i/>
          <w:iCs/>
        </w:rPr>
        <w:t xml:space="preserve"> der </w:t>
      </w:r>
      <w:proofErr w:type="spellStart"/>
      <w:r w:rsidR="002D2A81" w:rsidRPr="00AC3FAE">
        <w:rPr>
          <w:i/>
          <w:iCs/>
        </w:rPr>
        <w:t>Verfassung</w:t>
      </w:r>
      <w:proofErr w:type="spellEnd"/>
      <w:r w:rsidR="002D2A81" w:rsidRPr="00AC3FAE">
        <w:rPr>
          <w:i/>
          <w:iCs/>
        </w:rPr>
        <w:t xml:space="preserve"> </w:t>
      </w:r>
      <w:proofErr w:type="spellStart"/>
      <w:proofErr w:type="gramStart"/>
      <w:r w:rsidR="002D2A81" w:rsidRPr="00AC3FAE">
        <w:rPr>
          <w:i/>
          <w:iCs/>
        </w:rPr>
        <w:t>sein</w:t>
      </w:r>
      <w:proofErr w:type="spellEnd"/>
      <w:r w:rsidR="002D2A81" w:rsidRPr="00AC3FAE">
        <w:rPr>
          <w:i/>
          <w:iCs/>
        </w:rPr>
        <w:t>?</w:t>
      </w:r>
      <w:r w:rsidR="002D2A81" w:rsidRPr="00AC3FAE">
        <w:t>,</w:t>
      </w:r>
      <w:proofErr w:type="gramEnd"/>
      <w:r w:rsidR="002D2A81" w:rsidRPr="00AC3FAE">
        <w:t xml:space="preserve"> (</w:t>
      </w:r>
      <w:proofErr w:type="spellStart"/>
      <w:r w:rsidR="002D2A81" w:rsidRPr="00AC3FAE">
        <w:t>Mohr</w:t>
      </w:r>
      <w:proofErr w:type="spellEnd"/>
      <w:r w:rsidR="002D2A81" w:rsidRPr="00AC3FAE">
        <w:t xml:space="preserve"> </w:t>
      </w:r>
      <w:proofErr w:type="spellStart"/>
      <w:r w:rsidR="002D2A81" w:rsidRPr="00AC3FAE">
        <w:t>Siebeck</w:t>
      </w:r>
      <w:proofErr w:type="spellEnd"/>
      <w:r w:rsidR="00AF4E09" w:rsidRPr="00AC3FAE">
        <w:t xml:space="preserve"> </w:t>
      </w:r>
      <w:r w:rsidR="002D2A81" w:rsidRPr="00AC3FAE">
        <w:t>2019).</w:t>
      </w:r>
    </w:p>
  </w:footnote>
  <w:footnote w:id="44">
    <w:p w14:paraId="5CD19F23" w14:textId="4AE8346E" w:rsidR="005F4C2B" w:rsidRPr="00AC3FAE" w:rsidRDefault="005F4C2B" w:rsidP="001D4667">
      <w:pPr>
        <w:pStyle w:val="FootnoteText"/>
        <w:jc w:val="both"/>
      </w:pPr>
      <w:r w:rsidRPr="00AC3FAE">
        <w:rPr>
          <w:rStyle w:val="FootnoteReference"/>
        </w:rPr>
        <w:footnoteRef/>
      </w:r>
      <w:r w:rsidRPr="00AC3FAE">
        <w:t xml:space="preserve"> Türkiye’de </w:t>
      </w:r>
      <w:proofErr w:type="spellStart"/>
      <w:r w:rsidRPr="00AC3FAE">
        <w:t>Hirschl’in</w:t>
      </w:r>
      <w:proofErr w:type="spellEnd"/>
      <w:r w:rsidRPr="00AC3FAE">
        <w:t xml:space="preserve"> </w:t>
      </w:r>
      <w:proofErr w:type="spellStart"/>
      <w:r w:rsidRPr="00AC3FAE">
        <w:t>jüristokrasi</w:t>
      </w:r>
      <w:proofErr w:type="spellEnd"/>
      <w:r w:rsidRPr="00AC3FAE">
        <w:t xml:space="preserve"> savı Ergun Özbudun’un tanıtımıyla yaygınlaştı. Bkz. </w:t>
      </w:r>
      <w:r w:rsidR="002D2A81" w:rsidRPr="00AC3FAE">
        <w:t xml:space="preserve">Ergun Özbudun, “Türk Anayasa Mahkemesinin Yargısal Aktivizmi ve Siyasal Elitlerin Tepkisi”, </w:t>
      </w:r>
      <w:r w:rsidR="002D2A81" w:rsidRPr="00AC3FAE">
        <w:rPr>
          <w:i/>
          <w:iCs/>
        </w:rPr>
        <w:t>Ankara Üniversitesi SBF Dergisi</w:t>
      </w:r>
      <w:r w:rsidR="002D2A81" w:rsidRPr="00AC3FAE">
        <w:t>, 62(3), 2007, s. 258-268.</w:t>
      </w:r>
      <w:r w:rsidR="001C6B6E" w:rsidRPr="00AC3FAE">
        <w:t xml:space="preserve"> </w:t>
      </w:r>
      <w:proofErr w:type="spellStart"/>
      <w:r w:rsidR="001C6B6E" w:rsidRPr="00AC3FAE">
        <w:t>Ran</w:t>
      </w:r>
      <w:proofErr w:type="spellEnd"/>
      <w:r w:rsidR="001C6B6E" w:rsidRPr="00AC3FAE">
        <w:t xml:space="preserve"> </w:t>
      </w:r>
      <w:proofErr w:type="spellStart"/>
      <w:r w:rsidR="001C6B6E" w:rsidRPr="00AC3FAE">
        <w:t>Hirschl</w:t>
      </w:r>
      <w:proofErr w:type="spellEnd"/>
      <w:r w:rsidR="001C6B6E" w:rsidRPr="00AC3FAE">
        <w:t xml:space="preserve">, </w:t>
      </w:r>
      <w:proofErr w:type="spellStart"/>
      <w:r w:rsidR="001C6B6E" w:rsidRPr="00AC3FAE">
        <w:rPr>
          <w:i/>
          <w:iCs/>
        </w:rPr>
        <w:t>Towards</w:t>
      </w:r>
      <w:proofErr w:type="spellEnd"/>
      <w:r w:rsidR="001C6B6E" w:rsidRPr="00AC3FAE">
        <w:rPr>
          <w:i/>
          <w:iCs/>
        </w:rPr>
        <w:t xml:space="preserve"> </w:t>
      </w:r>
      <w:proofErr w:type="spellStart"/>
      <w:r w:rsidR="001C6B6E" w:rsidRPr="00AC3FAE">
        <w:rPr>
          <w:i/>
          <w:iCs/>
        </w:rPr>
        <w:t>Juristocracy</w:t>
      </w:r>
      <w:proofErr w:type="spellEnd"/>
      <w:r w:rsidR="001C6B6E" w:rsidRPr="00AC3FAE">
        <w:rPr>
          <w:i/>
          <w:iCs/>
        </w:rPr>
        <w:t xml:space="preserve">: </w:t>
      </w:r>
      <w:proofErr w:type="spellStart"/>
      <w:r w:rsidR="001C6B6E" w:rsidRPr="00AC3FAE">
        <w:rPr>
          <w:i/>
          <w:iCs/>
        </w:rPr>
        <w:t>The</w:t>
      </w:r>
      <w:proofErr w:type="spellEnd"/>
      <w:r w:rsidR="001C6B6E" w:rsidRPr="00AC3FAE">
        <w:rPr>
          <w:i/>
          <w:iCs/>
        </w:rPr>
        <w:t xml:space="preserve"> </w:t>
      </w:r>
      <w:proofErr w:type="spellStart"/>
      <w:r w:rsidR="001C6B6E" w:rsidRPr="00AC3FAE">
        <w:rPr>
          <w:i/>
          <w:iCs/>
        </w:rPr>
        <w:t>Origins</w:t>
      </w:r>
      <w:proofErr w:type="spellEnd"/>
      <w:r w:rsidR="001C6B6E" w:rsidRPr="00AC3FAE">
        <w:rPr>
          <w:i/>
          <w:iCs/>
        </w:rPr>
        <w:t xml:space="preserve"> </w:t>
      </w:r>
      <w:proofErr w:type="spellStart"/>
      <w:r w:rsidR="001C6B6E" w:rsidRPr="00AC3FAE">
        <w:rPr>
          <w:i/>
          <w:iCs/>
        </w:rPr>
        <w:t>and</w:t>
      </w:r>
      <w:proofErr w:type="spellEnd"/>
      <w:r w:rsidR="001C6B6E" w:rsidRPr="00AC3FAE">
        <w:rPr>
          <w:i/>
          <w:iCs/>
        </w:rPr>
        <w:t xml:space="preserve"> </w:t>
      </w:r>
      <w:proofErr w:type="spellStart"/>
      <w:r w:rsidR="001C6B6E" w:rsidRPr="00AC3FAE">
        <w:rPr>
          <w:i/>
          <w:iCs/>
        </w:rPr>
        <w:t>Consequences</w:t>
      </w:r>
      <w:proofErr w:type="spellEnd"/>
      <w:r w:rsidR="001C6B6E" w:rsidRPr="00AC3FAE">
        <w:rPr>
          <w:i/>
          <w:iCs/>
        </w:rPr>
        <w:t xml:space="preserve"> of </w:t>
      </w:r>
      <w:proofErr w:type="spellStart"/>
      <w:r w:rsidR="001C6B6E" w:rsidRPr="00AC3FAE">
        <w:rPr>
          <w:i/>
          <w:iCs/>
        </w:rPr>
        <w:t>the</w:t>
      </w:r>
      <w:proofErr w:type="spellEnd"/>
      <w:r w:rsidR="001C6B6E" w:rsidRPr="00AC3FAE">
        <w:rPr>
          <w:i/>
          <w:iCs/>
        </w:rPr>
        <w:t xml:space="preserve"> New </w:t>
      </w:r>
      <w:proofErr w:type="spellStart"/>
      <w:r w:rsidR="001C6B6E" w:rsidRPr="00AC3FAE">
        <w:rPr>
          <w:i/>
          <w:iCs/>
        </w:rPr>
        <w:t>Constitutionalism</w:t>
      </w:r>
      <w:proofErr w:type="spellEnd"/>
      <w:r w:rsidR="001C6B6E" w:rsidRPr="00AC3FAE">
        <w:t>, (HUP, 2007).</w:t>
      </w:r>
    </w:p>
  </w:footnote>
  <w:footnote w:id="45">
    <w:p w14:paraId="550B22EF" w14:textId="13DDE3B9" w:rsidR="00C95A17" w:rsidRPr="00AC3FAE" w:rsidRDefault="00C95A17" w:rsidP="001D4667">
      <w:pPr>
        <w:pStyle w:val="FootnoteText"/>
        <w:jc w:val="both"/>
      </w:pPr>
      <w:r w:rsidRPr="00AC3FAE">
        <w:rPr>
          <w:rStyle w:val="FootnoteReference"/>
        </w:rPr>
        <w:footnoteRef/>
      </w:r>
      <w:r w:rsidRPr="00AC3FAE">
        <w:t xml:space="preserve"> Mark </w:t>
      </w:r>
      <w:proofErr w:type="spellStart"/>
      <w:r w:rsidRPr="00AC3FAE">
        <w:t>Tushnet</w:t>
      </w:r>
      <w:proofErr w:type="spellEnd"/>
      <w:r w:rsidRPr="00AC3FAE">
        <w:t xml:space="preserve">, </w:t>
      </w:r>
      <w:proofErr w:type="spellStart"/>
      <w:r w:rsidR="002D2A81" w:rsidRPr="00AC3FAE">
        <w:rPr>
          <w:i/>
          <w:iCs/>
        </w:rPr>
        <w:t>The</w:t>
      </w:r>
      <w:proofErr w:type="spellEnd"/>
      <w:r w:rsidR="002D2A81" w:rsidRPr="00AC3FAE">
        <w:rPr>
          <w:i/>
          <w:iCs/>
        </w:rPr>
        <w:t xml:space="preserve"> New </w:t>
      </w:r>
      <w:proofErr w:type="spellStart"/>
      <w:r w:rsidR="002D2A81" w:rsidRPr="00AC3FAE">
        <w:rPr>
          <w:i/>
          <w:iCs/>
        </w:rPr>
        <w:t>Fourth</w:t>
      </w:r>
      <w:proofErr w:type="spellEnd"/>
      <w:r w:rsidR="002D2A81" w:rsidRPr="00AC3FAE">
        <w:rPr>
          <w:i/>
          <w:iCs/>
        </w:rPr>
        <w:t xml:space="preserve"> </w:t>
      </w:r>
      <w:proofErr w:type="spellStart"/>
      <w:r w:rsidR="002D2A81" w:rsidRPr="00AC3FAE">
        <w:rPr>
          <w:i/>
          <w:iCs/>
        </w:rPr>
        <w:t>Branch</w:t>
      </w:r>
      <w:proofErr w:type="spellEnd"/>
      <w:r w:rsidR="002D2A81" w:rsidRPr="00AC3FAE">
        <w:rPr>
          <w:i/>
          <w:iCs/>
        </w:rPr>
        <w:t xml:space="preserve"> </w:t>
      </w:r>
      <w:proofErr w:type="spellStart"/>
      <w:r w:rsidR="002D2A81" w:rsidRPr="00AC3FAE">
        <w:rPr>
          <w:i/>
          <w:iCs/>
        </w:rPr>
        <w:t>Institutions</w:t>
      </w:r>
      <w:proofErr w:type="spellEnd"/>
      <w:r w:rsidR="002D2A81" w:rsidRPr="00AC3FAE">
        <w:rPr>
          <w:i/>
          <w:iCs/>
        </w:rPr>
        <w:t xml:space="preserve"> </w:t>
      </w:r>
      <w:proofErr w:type="spellStart"/>
      <w:r w:rsidR="002D2A81" w:rsidRPr="00AC3FAE">
        <w:rPr>
          <w:i/>
          <w:iCs/>
        </w:rPr>
        <w:t>for</w:t>
      </w:r>
      <w:proofErr w:type="spellEnd"/>
      <w:r w:rsidR="002D2A81" w:rsidRPr="00AC3FAE">
        <w:rPr>
          <w:i/>
          <w:iCs/>
        </w:rPr>
        <w:t xml:space="preserve"> </w:t>
      </w:r>
      <w:proofErr w:type="spellStart"/>
      <w:r w:rsidR="002D2A81" w:rsidRPr="00AC3FAE">
        <w:rPr>
          <w:i/>
          <w:iCs/>
        </w:rPr>
        <w:t>Protecting</w:t>
      </w:r>
      <w:proofErr w:type="spellEnd"/>
      <w:r w:rsidR="002D2A81" w:rsidRPr="00AC3FAE">
        <w:rPr>
          <w:i/>
          <w:iCs/>
        </w:rPr>
        <w:t xml:space="preserve"> </w:t>
      </w:r>
      <w:proofErr w:type="spellStart"/>
      <w:r w:rsidR="002D2A81" w:rsidRPr="00AC3FAE">
        <w:rPr>
          <w:i/>
          <w:iCs/>
        </w:rPr>
        <w:t>Constitutional</w:t>
      </w:r>
      <w:proofErr w:type="spellEnd"/>
      <w:r w:rsidR="002D2A81" w:rsidRPr="00AC3FAE">
        <w:rPr>
          <w:i/>
          <w:iCs/>
        </w:rPr>
        <w:t xml:space="preserve"> </w:t>
      </w:r>
      <w:proofErr w:type="spellStart"/>
      <w:r w:rsidR="002D2A81" w:rsidRPr="00AC3FAE">
        <w:rPr>
          <w:i/>
          <w:iCs/>
        </w:rPr>
        <w:t>Democracy</w:t>
      </w:r>
      <w:proofErr w:type="spellEnd"/>
      <w:r w:rsidR="002D2A81" w:rsidRPr="00AC3FAE">
        <w:t xml:space="preserve"> (CUP</w:t>
      </w:r>
      <w:r w:rsidR="00AF4E09" w:rsidRPr="00AC3FAE">
        <w:t xml:space="preserve"> </w:t>
      </w:r>
      <w:r w:rsidR="002D2A81" w:rsidRPr="00AC3FAE">
        <w:t>2021).</w:t>
      </w:r>
    </w:p>
  </w:footnote>
  <w:footnote w:id="46">
    <w:p w14:paraId="2747FE99" w14:textId="4275F1EB" w:rsidR="00C95A17" w:rsidRPr="00AC3FAE" w:rsidRDefault="00C95A17" w:rsidP="001D4667">
      <w:pPr>
        <w:pStyle w:val="FootnoteText"/>
        <w:jc w:val="both"/>
      </w:pPr>
      <w:r w:rsidRPr="00AC3FAE">
        <w:rPr>
          <w:rStyle w:val="FootnoteReference"/>
        </w:rPr>
        <w:footnoteRef/>
      </w:r>
      <w:r w:rsidRPr="00AC3FAE">
        <w:t xml:space="preserve"> Robert </w:t>
      </w:r>
      <w:proofErr w:type="spellStart"/>
      <w:r w:rsidRPr="00AC3FAE">
        <w:t>Mangabeira</w:t>
      </w:r>
      <w:proofErr w:type="spellEnd"/>
      <w:r w:rsidRPr="00AC3FAE">
        <w:t xml:space="preserve"> </w:t>
      </w:r>
      <w:proofErr w:type="spellStart"/>
      <w:r w:rsidRPr="00AC3FAE">
        <w:t>Unger</w:t>
      </w:r>
      <w:proofErr w:type="spellEnd"/>
      <w:r w:rsidRPr="00AC3FAE">
        <w:t xml:space="preserve">, </w:t>
      </w:r>
      <w:proofErr w:type="spellStart"/>
      <w:r w:rsidRPr="00AC3FAE">
        <w:rPr>
          <w:i/>
          <w:iCs/>
        </w:rPr>
        <w:t>False</w:t>
      </w:r>
      <w:proofErr w:type="spellEnd"/>
      <w:r w:rsidRPr="00AC3FAE">
        <w:rPr>
          <w:i/>
          <w:iCs/>
        </w:rPr>
        <w:t xml:space="preserve"> </w:t>
      </w:r>
      <w:proofErr w:type="spellStart"/>
      <w:r w:rsidRPr="00AC3FAE">
        <w:rPr>
          <w:i/>
          <w:iCs/>
        </w:rPr>
        <w:t>Necessity</w:t>
      </w:r>
      <w:proofErr w:type="spellEnd"/>
      <w:r w:rsidRPr="00AC3FAE">
        <w:t>, (CUP 1987)</w:t>
      </w:r>
      <w:r w:rsidR="002D2A81" w:rsidRPr="00AC3FAE">
        <w:t>.</w:t>
      </w:r>
    </w:p>
  </w:footnote>
  <w:footnote w:id="47">
    <w:p w14:paraId="0FFEE9E9" w14:textId="41CEA9AD" w:rsidR="00C95A17" w:rsidRPr="00AC3FAE" w:rsidRDefault="00C95A17" w:rsidP="001D4667">
      <w:pPr>
        <w:pStyle w:val="FootnoteText"/>
        <w:jc w:val="both"/>
      </w:pPr>
      <w:r w:rsidRPr="00AC3FAE">
        <w:rPr>
          <w:rStyle w:val="FootnoteReference"/>
        </w:rPr>
        <w:footnoteRef/>
      </w:r>
      <w:r w:rsidRPr="00AC3FAE">
        <w:t xml:space="preserve"> Bruce </w:t>
      </w:r>
      <w:proofErr w:type="spellStart"/>
      <w:r w:rsidRPr="00AC3FAE">
        <w:t>Ackerman</w:t>
      </w:r>
      <w:proofErr w:type="spellEnd"/>
      <w:r w:rsidRPr="00AC3FAE">
        <w:t xml:space="preserve">, </w:t>
      </w:r>
      <w:r w:rsidRPr="00AC3FAE">
        <w:rPr>
          <w:i/>
          <w:iCs/>
        </w:rPr>
        <w:t xml:space="preserve">New </w:t>
      </w:r>
      <w:proofErr w:type="spellStart"/>
      <w:r w:rsidRPr="00AC3FAE">
        <w:rPr>
          <w:i/>
          <w:iCs/>
        </w:rPr>
        <w:t>Seperation</w:t>
      </w:r>
      <w:proofErr w:type="spellEnd"/>
      <w:r w:rsidRPr="00AC3FAE">
        <w:rPr>
          <w:i/>
          <w:iCs/>
        </w:rPr>
        <w:t xml:space="preserve"> of Powers</w:t>
      </w:r>
      <w:r w:rsidRPr="00AC3FAE">
        <w:t>, (</w:t>
      </w:r>
      <w:proofErr w:type="spellStart"/>
      <w:r w:rsidRPr="00AC3FAE">
        <w:t>Routledge</w:t>
      </w:r>
      <w:proofErr w:type="spellEnd"/>
      <w:r w:rsidRPr="00AC3FAE">
        <w:t xml:space="preserve"> 2005)</w:t>
      </w:r>
      <w:r w:rsidR="002D2A81" w:rsidRPr="00AC3FAE">
        <w:t>.</w:t>
      </w:r>
    </w:p>
  </w:footnote>
  <w:footnote w:id="48">
    <w:p w14:paraId="41603735" w14:textId="6D3E3562" w:rsidR="00C95A17" w:rsidRPr="00AC3FAE" w:rsidRDefault="00C95A17" w:rsidP="001D4667">
      <w:pPr>
        <w:pStyle w:val="FootnoteText"/>
        <w:jc w:val="both"/>
      </w:pPr>
      <w:r w:rsidRPr="00AC3FAE">
        <w:rPr>
          <w:rStyle w:val="FootnoteReference"/>
        </w:rPr>
        <w:footnoteRef/>
      </w:r>
      <w:r w:rsidRPr="00AC3FAE">
        <w:t xml:space="preserve"> </w:t>
      </w:r>
      <w:r w:rsidR="001C6B6E" w:rsidRPr="00AC3FAE">
        <w:t xml:space="preserve">Frank </w:t>
      </w:r>
      <w:proofErr w:type="spellStart"/>
      <w:r w:rsidR="001C6B6E" w:rsidRPr="00AC3FAE">
        <w:t>Vibert</w:t>
      </w:r>
      <w:proofErr w:type="spellEnd"/>
      <w:r w:rsidR="001C6B6E" w:rsidRPr="00AC3FAE">
        <w:rPr>
          <w:i/>
          <w:iCs/>
        </w:rPr>
        <w:t xml:space="preserve">, </w:t>
      </w:r>
      <w:proofErr w:type="spellStart"/>
      <w:r w:rsidRPr="00AC3FAE">
        <w:rPr>
          <w:i/>
          <w:iCs/>
        </w:rPr>
        <w:t>The</w:t>
      </w:r>
      <w:proofErr w:type="spellEnd"/>
      <w:r w:rsidRPr="00AC3FAE">
        <w:rPr>
          <w:i/>
          <w:iCs/>
        </w:rPr>
        <w:t xml:space="preserve"> Rise of </w:t>
      </w:r>
      <w:proofErr w:type="spellStart"/>
      <w:r w:rsidRPr="00AC3FAE">
        <w:rPr>
          <w:i/>
          <w:iCs/>
        </w:rPr>
        <w:t>the</w:t>
      </w:r>
      <w:proofErr w:type="spellEnd"/>
      <w:r w:rsidRPr="00AC3FAE">
        <w:rPr>
          <w:i/>
          <w:iCs/>
        </w:rPr>
        <w:t xml:space="preserve"> </w:t>
      </w:r>
      <w:proofErr w:type="spellStart"/>
      <w:r w:rsidRPr="00AC3FAE">
        <w:rPr>
          <w:i/>
          <w:iCs/>
        </w:rPr>
        <w:t>Unelected</w:t>
      </w:r>
      <w:proofErr w:type="spellEnd"/>
      <w:r w:rsidRPr="00AC3FAE">
        <w:rPr>
          <w:i/>
          <w:iCs/>
        </w:rPr>
        <w:t xml:space="preserve">: </w:t>
      </w:r>
      <w:proofErr w:type="spellStart"/>
      <w:r w:rsidRPr="00AC3FAE">
        <w:rPr>
          <w:i/>
          <w:iCs/>
        </w:rPr>
        <w:t>Democracy</w:t>
      </w:r>
      <w:proofErr w:type="spellEnd"/>
      <w:r w:rsidRPr="00AC3FAE">
        <w:rPr>
          <w:i/>
          <w:iCs/>
        </w:rPr>
        <w:t xml:space="preserve"> </w:t>
      </w:r>
      <w:proofErr w:type="spellStart"/>
      <w:r w:rsidRPr="00AC3FAE">
        <w:rPr>
          <w:i/>
          <w:iCs/>
        </w:rPr>
        <w:t>and</w:t>
      </w:r>
      <w:proofErr w:type="spellEnd"/>
      <w:r w:rsidRPr="00AC3FAE">
        <w:rPr>
          <w:i/>
          <w:iCs/>
        </w:rPr>
        <w:t xml:space="preserve"> </w:t>
      </w:r>
      <w:proofErr w:type="spellStart"/>
      <w:r w:rsidRPr="00AC3FAE">
        <w:rPr>
          <w:i/>
          <w:iCs/>
        </w:rPr>
        <w:t>the</w:t>
      </w:r>
      <w:proofErr w:type="spellEnd"/>
      <w:r w:rsidRPr="00AC3FAE">
        <w:rPr>
          <w:i/>
          <w:iCs/>
        </w:rPr>
        <w:t xml:space="preserve"> New </w:t>
      </w:r>
      <w:proofErr w:type="spellStart"/>
      <w:r w:rsidRPr="00AC3FAE">
        <w:rPr>
          <w:i/>
          <w:iCs/>
        </w:rPr>
        <w:t>Separation</w:t>
      </w:r>
      <w:proofErr w:type="spellEnd"/>
      <w:r w:rsidRPr="00AC3FAE">
        <w:rPr>
          <w:i/>
          <w:iCs/>
        </w:rPr>
        <w:t xml:space="preserve"> of Powers</w:t>
      </w:r>
      <w:r w:rsidRPr="00AC3FAE">
        <w:t xml:space="preserve"> (CUP</w:t>
      </w:r>
      <w:r w:rsidR="00AF4E09" w:rsidRPr="00AC3FAE">
        <w:t xml:space="preserve"> </w:t>
      </w:r>
      <w:r w:rsidRPr="00AC3FAE">
        <w:t>2007)</w:t>
      </w:r>
      <w:r w:rsidR="002D2A81" w:rsidRPr="00AC3FAE">
        <w:t>.</w:t>
      </w:r>
    </w:p>
  </w:footnote>
  <w:footnote w:id="49">
    <w:p w14:paraId="2332C280" w14:textId="27551986" w:rsidR="00C95A17" w:rsidRPr="00AC3FAE" w:rsidRDefault="00C95A17" w:rsidP="001D4667">
      <w:pPr>
        <w:pStyle w:val="FootnoteText"/>
        <w:jc w:val="both"/>
      </w:pPr>
      <w:r w:rsidRPr="00AC3FAE">
        <w:rPr>
          <w:rStyle w:val="FootnoteReference"/>
        </w:rPr>
        <w:footnoteRef/>
      </w:r>
      <w:r w:rsidRPr="00AC3FAE">
        <w:t xml:space="preserve"> </w:t>
      </w:r>
      <w:r w:rsidR="00FE7873" w:rsidRPr="00AC3FAE">
        <w:t xml:space="preserve">Martin </w:t>
      </w:r>
      <w:proofErr w:type="spellStart"/>
      <w:r w:rsidR="00FE7873" w:rsidRPr="00AC3FAE">
        <w:t>Loughlin</w:t>
      </w:r>
      <w:proofErr w:type="spellEnd"/>
      <w:r w:rsidR="00FE7873" w:rsidRPr="00AC3FAE">
        <w:t xml:space="preserve">, </w:t>
      </w:r>
      <w:r w:rsidR="00FE7873" w:rsidRPr="00AC3FAE">
        <w:rPr>
          <w:i/>
          <w:iCs/>
        </w:rPr>
        <w:t>Kamu Hukukunun Temelleri</w:t>
      </w:r>
      <w:r w:rsidR="00FE7873" w:rsidRPr="00AC3FAE">
        <w:t xml:space="preserve">, </w:t>
      </w:r>
      <w:proofErr w:type="spellStart"/>
      <w:r w:rsidR="00FE7873" w:rsidRPr="00AC3FAE">
        <w:t>Dilşad</w:t>
      </w:r>
      <w:proofErr w:type="spellEnd"/>
      <w:r w:rsidR="00FE7873" w:rsidRPr="00AC3FAE">
        <w:t xml:space="preserve"> Çiğdem Sever ve Kıvılcım Turan (çev.)</w:t>
      </w:r>
      <w:r w:rsidR="005F4C2B" w:rsidRPr="00AC3FAE">
        <w:t xml:space="preserve">, </w:t>
      </w:r>
      <w:r w:rsidR="00FE7873" w:rsidRPr="00AC3FAE">
        <w:t>(Dipnot, 2018).</w:t>
      </w:r>
    </w:p>
  </w:footnote>
  <w:footnote w:id="50">
    <w:p w14:paraId="739E5953" w14:textId="1B2EEAB3" w:rsidR="00955367" w:rsidRPr="00AC3FAE" w:rsidRDefault="00955367" w:rsidP="001D4667">
      <w:pPr>
        <w:pStyle w:val="FootnoteText"/>
        <w:jc w:val="both"/>
      </w:pPr>
      <w:r w:rsidRPr="00AC3FAE">
        <w:rPr>
          <w:rStyle w:val="FootnoteReference"/>
        </w:rPr>
        <w:footnoteRef/>
      </w:r>
      <w:r w:rsidRPr="00AC3FAE">
        <w:t xml:space="preserve"> Yazar, monografisinde yolsuzluk komisyonları bağlamında Brezilya ve </w:t>
      </w:r>
      <w:r w:rsidR="00AF4E09" w:rsidRPr="00AC3FAE">
        <w:t>GAC</w:t>
      </w:r>
      <w:r w:rsidRPr="00AC3FAE">
        <w:t xml:space="preserve"> örneklerinde kimi figürlerin bu kurumları siyasi hesaplarının parçası kılmalarını ve bu bakımdan siyasal sorunlara nasıl neden olduklarını ayrıntılı biçimde anlatır.</w:t>
      </w:r>
      <w:r w:rsidR="00867257">
        <w:t xml:space="preserve"> Daha özet bilgi için bkz. Mark </w:t>
      </w:r>
      <w:proofErr w:type="spellStart"/>
      <w:r w:rsidR="00867257">
        <w:t>Tushnet</w:t>
      </w:r>
      <w:proofErr w:type="spellEnd"/>
      <w:r w:rsidR="00867257">
        <w:t xml:space="preserve">, </w:t>
      </w:r>
      <w:r w:rsidR="00867257" w:rsidRPr="00867257">
        <w:rPr>
          <w:i/>
          <w:iCs/>
        </w:rPr>
        <w:t xml:space="preserve">Advanced </w:t>
      </w:r>
      <w:proofErr w:type="spellStart"/>
      <w:r w:rsidR="00867257" w:rsidRPr="00867257">
        <w:rPr>
          <w:i/>
          <w:iCs/>
        </w:rPr>
        <w:t>Introduction</w:t>
      </w:r>
      <w:proofErr w:type="spellEnd"/>
      <w:r w:rsidR="00867257" w:rsidRPr="00867257">
        <w:rPr>
          <w:i/>
          <w:iCs/>
        </w:rPr>
        <w:t xml:space="preserve"> </w:t>
      </w:r>
      <w:proofErr w:type="spellStart"/>
      <w:r w:rsidR="00867257" w:rsidRPr="00867257">
        <w:rPr>
          <w:i/>
          <w:iCs/>
        </w:rPr>
        <w:t>to</w:t>
      </w:r>
      <w:proofErr w:type="spellEnd"/>
      <w:r w:rsidR="00867257" w:rsidRPr="00867257">
        <w:rPr>
          <w:i/>
          <w:iCs/>
        </w:rPr>
        <w:t xml:space="preserve"> </w:t>
      </w:r>
      <w:proofErr w:type="spellStart"/>
      <w:r w:rsidR="00867257" w:rsidRPr="00867257">
        <w:rPr>
          <w:i/>
          <w:iCs/>
        </w:rPr>
        <w:t>Comparative</w:t>
      </w:r>
      <w:proofErr w:type="spellEnd"/>
      <w:r w:rsidR="00867257" w:rsidRPr="00867257">
        <w:rPr>
          <w:i/>
          <w:iCs/>
        </w:rPr>
        <w:t xml:space="preserve"> </w:t>
      </w:r>
      <w:proofErr w:type="spellStart"/>
      <w:r w:rsidR="00867257" w:rsidRPr="00867257">
        <w:rPr>
          <w:i/>
          <w:iCs/>
        </w:rPr>
        <w:t>Constitutional</w:t>
      </w:r>
      <w:proofErr w:type="spellEnd"/>
      <w:r w:rsidR="00867257" w:rsidRPr="00867257">
        <w:rPr>
          <w:i/>
          <w:iCs/>
        </w:rPr>
        <w:t xml:space="preserve"> </w:t>
      </w:r>
      <w:proofErr w:type="spellStart"/>
      <w:r w:rsidR="00867257" w:rsidRPr="00867257">
        <w:rPr>
          <w:i/>
          <w:iCs/>
        </w:rPr>
        <w:t>Law</w:t>
      </w:r>
      <w:proofErr w:type="spellEnd"/>
      <w:r w:rsidR="00867257" w:rsidRPr="00867257">
        <w:t xml:space="preserve">, (Edward </w:t>
      </w:r>
      <w:proofErr w:type="spellStart"/>
      <w:r w:rsidR="00867257" w:rsidRPr="00867257">
        <w:t>Elgar</w:t>
      </w:r>
      <w:proofErr w:type="spellEnd"/>
      <w:r w:rsidR="00867257" w:rsidRPr="00867257">
        <w:t xml:space="preserve"> 2014)</w:t>
      </w:r>
      <w:r w:rsidR="00867257">
        <w:t>.</w:t>
      </w:r>
    </w:p>
  </w:footnote>
  <w:footnote w:id="51">
    <w:p w14:paraId="1FAB2219" w14:textId="5A6D7873" w:rsidR="00174B4E" w:rsidRPr="00AC3FAE" w:rsidRDefault="00174B4E" w:rsidP="001D4667">
      <w:pPr>
        <w:pStyle w:val="FootnoteText"/>
        <w:jc w:val="both"/>
      </w:pPr>
      <w:r w:rsidRPr="00AC3FAE">
        <w:rPr>
          <w:rStyle w:val="FootnoteReference"/>
        </w:rPr>
        <w:footnoteRef/>
      </w:r>
      <w:r w:rsidRPr="00AC3FAE">
        <w:t xml:space="preserve"> </w:t>
      </w:r>
      <w:r w:rsidR="00AF4E09" w:rsidRPr="00AC3FAE">
        <w:t>GAC</w:t>
      </w:r>
      <w:r w:rsidR="008E2800" w:rsidRPr="00AC3FAE">
        <w:t xml:space="preserve"> ve Somali (12), Irak (11), </w:t>
      </w:r>
      <w:r w:rsidR="006F4197" w:rsidRPr="00AC3FAE">
        <w:t>Venezuela</w:t>
      </w:r>
      <w:r w:rsidR="008E2800" w:rsidRPr="00AC3FAE">
        <w:t>, Ruanda ve Nij</w:t>
      </w:r>
      <w:r w:rsidR="006F4197" w:rsidRPr="00AC3FAE">
        <w:t>e</w:t>
      </w:r>
      <w:r w:rsidR="008E2800" w:rsidRPr="00AC3FAE">
        <w:t xml:space="preserve">rya (10), Peru ve </w:t>
      </w:r>
      <w:proofErr w:type="spellStart"/>
      <w:r w:rsidR="008E2800" w:rsidRPr="00AC3FAE">
        <w:t>Ekvador</w:t>
      </w:r>
      <w:proofErr w:type="spellEnd"/>
      <w:r w:rsidR="008E2800" w:rsidRPr="00AC3FAE">
        <w:t xml:space="preserve"> (7), Svaziland ve Butan (6), Afganistan, Filipinler, Macaristan, Mozambik, Meksika, Malavi, Sırbistan, Uganda (5), Şili ve Yunanistan (4) bu ülkelerdendir. </w:t>
      </w:r>
      <w:r w:rsidRPr="00AC3FAE">
        <w:t xml:space="preserve">John M. </w:t>
      </w:r>
      <w:proofErr w:type="spellStart"/>
      <w:r w:rsidRPr="00AC3FAE">
        <w:t>Ackerman</w:t>
      </w:r>
      <w:proofErr w:type="spellEnd"/>
      <w:r w:rsidRPr="00AC3FAE">
        <w:t xml:space="preserve">, </w:t>
      </w:r>
      <w:r w:rsidR="008E2800" w:rsidRPr="00AC3FAE">
        <w:t>“</w:t>
      </w:r>
      <w:proofErr w:type="spellStart"/>
      <w:r w:rsidRPr="00AC3FAE">
        <w:t>Understanding</w:t>
      </w:r>
      <w:proofErr w:type="spellEnd"/>
      <w:r w:rsidRPr="00AC3FAE">
        <w:t xml:space="preserve"> </w:t>
      </w:r>
      <w:proofErr w:type="spellStart"/>
      <w:r w:rsidRPr="00AC3FAE">
        <w:t>Independent</w:t>
      </w:r>
      <w:proofErr w:type="spellEnd"/>
      <w:r w:rsidRPr="00AC3FAE">
        <w:t xml:space="preserve"> </w:t>
      </w:r>
      <w:proofErr w:type="spellStart"/>
      <w:r w:rsidRPr="00AC3FAE">
        <w:t>Accountability</w:t>
      </w:r>
      <w:proofErr w:type="spellEnd"/>
      <w:r w:rsidR="008E2800" w:rsidRPr="00AC3FAE">
        <w:t>”</w:t>
      </w:r>
      <w:r w:rsidRPr="00AC3FAE">
        <w:t>,</w:t>
      </w:r>
      <w:r w:rsidR="008E2800" w:rsidRPr="00AC3FAE">
        <w:t xml:space="preserve"> </w:t>
      </w:r>
      <w:proofErr w:type="spellStart"/>
      <w:r w:rsidR="008E2800" w:rsidRPr="00AC3FAE">
        <w:rPr>
          <w:i/>
          <w:iCs/>
        </w:rPr>
        <w:t>Comparative</w:t>
      </w:r>
      <w:proofErr w:type="spellEnd"/>
      <w:r w:rsidR="008E2800" w:rsidRPr="00AC3FAE">
        <w:rPr>
          <w:i/>
          <w:iCs/>
        </w:rPr>
        <w:t xml:space="preserve"> </w:t>
      </w:r>
      <w:proofErr w:type="spellStart"/>
      <w:r w:rsidR="008E2800" w:rsidRPr="00AC3FAE">
        <w:rPr>
          <w:i/>
          <w:iCs/>
        </w:rPr>
        <w:t>Administrative</w:t>
      </w:r>
      <w:proofErr w:type="spellEnd"/>
      <w:r w:rsidR="008E2800" w:rsidRPr="00AC3FAE">
        <w:rPr>
          <w:i/>
          <w:iCs/>
        </w:rPr>
        <w:t xml:space="preserve"> </w:t>
      </w:r>
      <w:proofErr w:type="spellStart"/>
      <w:r w:rsidR="008E2800" w:rsidRPr="00AC3FAE">
        <w:rPr>
          <w:i/>
          <w:iCs/>
        </w:rPr>
        <w:t>Law</w:t>
      </w:r>
      <w:proofErr w:type="spellEnd"/>
      <w:r w:rsidR="008E2800" w:rsidRPr="00AC3FAE">
        <w:t xml:space="preserve">, </w:t>
      </w:r>
      <w:r w:rsidRPr="00AC3FAE">
        <w:t>s. 272.</w:t>
      </w:r>
    </w:p>
  </w:footnote>
  <w:footnote w:id="52">
    <w:p w14:paraId="15BD69D5" w14:textId="2399874A" w:rsidR="00CB684C" w:rsidRPr="00AC3FAE" w:rsidRDefault="00CB684C" w:rsidP="001D4667">
      <w:pPr>
        <w:pStyle w:val="FootnoteText"/>
        <w:jc w:val="both"/>
      </w:pPr>
      <w:r w:rsidRPr="00AC3FAE">
        <w:rPr>
          <w:rStyle w:val="FootnoteReference"/>
        </w:rPr>
        <w:footnoteRef/>
      </w:r>
      <w:r w:rsidRPr="00AC3FAE">
        <w:t xml:space="preserve"> Doğanın hak öznesi olması</w:t>
      </w:r>
      <w:r w:rsidR="009E2F99" w:rsidRPr="00AC3FAE">
        <w:t xml:space="preserve"> konusunda bkz. Tolga Şirin, “Gelecek Kuşaklardan Doğanın Haklarına: Bolivya ve </w:t>
      </w:r>
      <w:proofErr w:type="spellStart"/>
      <w:r w:rsidR="009E2F99" w:rsidRPr="00AC3FAE">
        <w:t>Ekvador</w:t>
      </w:r>
      <w:proofErr w:type="spellEnd"/>
      <w:r w:rsidR="009E2F99" w:rsidRPr="00AC3FAE">
        <w:t xml:space="preserve"> Anayasaları”, Fevzi </w:t>
      </w:r>
      <w:proofErr w:type="spellStart"/>
      <w:r w:rsidR="009E2F99" w:rsidRPr="00AC3FAE">
        <w:t>Özlüer</w:t>
      </w:r>
      <w:proofErr w:type="spellEnd"/>
      <w:r w:rsidR="009E2F99" w:rsidRPr="00AC3FAE">
        <w:t xml:space="preserve"> ve Aykut Çoban (ed.), </w:t>
      </w:r>
      <w:r w:rsidR="009E2F99" w:rsidRPr="00AC3FAE">
        <w:rPr>
          <w:i/>
          <w:iCs/>
        </w:rPr>
        <w:t>Doğa ve Kent Hakları İçin Siyasal Stratejiler</w:t>
      </w:r>
      <w:r w:rsidR="009E2F99" w:rsidRPr="00AC3FAE">
        <w:t>, (Ekoloji Kolektifi 2016).</w:t>
      </w:r>
    </w:p>
  </w:footnote>
  <w:footnote w:id="53">
    <w:p w14:paraId="2BFC1DD4" w14:textId="43013327" w:rsidR="00CB684C" w:rsidRPr="00AC3FAE" w:rsidRDefault="00CB684C" w:rsidP="001D4667">
      <w:pPr>
        <w:pStyle w:val="FootnoteText"/>
        <w:jc w:val="both"/>
      </w:pPr>
      <w:r w:rsidRPr="00AC3FAE">
        <w:rPr>
          <w:rStyle w:val="FootnoteReference"/>
        </w:rPr>
        <w:footnoteRef/>
      </w:r>
      <w:r w:rsidRPr="00AC3FAE">
        <w:t xml:space="preserve"> </w:t>
      </w:r>
      <w:proofErr w:type="spellStart"/>
      <w:r w:rsidRPr="00AC3FAE">
        <w:t>Andrés</w:t>
      </w:r>
      <w:proofErr w:type="spellEnd"/>
      <w:r w:rsidRPr="00AC3FAE">
        <w:t xml:space="preserve"> </w:t>
      </w:r>
      <w:proofErr w:type="spellStart"/>
      <w:r w:rsidRPr="00AC3FAE">
        <w:t>Martínez</w:t>
      </w:r>
      <w:proofErr w:type="spellEnd"/>
      <w:r w:rsidRPr="00AC3FAE">
        <w:t xml:space="preserve"> </w:t>
      </w:r>
      <w:proofErr w:type="spellStart"/>
      <w:r w:rsidRPr="00AC3FAE">
        <w:t>Moscoso</w:t>
      </w:r>
      <w:proofErr w:type="spellEnd"/>
      <w:r w:rsidRPr="00AC3FAE">
        <w:t xml:space="preserve">, “A New </w:t>
      </w:r>
      <w:proofErr w:type="spellStart"/>
      <w:r w:rsidRPr="00AC3FAE">
        <w:t>Concept</w:t>
      </w:r>
      <w:proofErr w:type="spellEnd"/>
      <w:r w:rsidRPr="00AC3FAE">
        <w:t xml:space="preserve"> of </w:t>
      </w:r>
      <w:proofErr w:type="spellStart"/>
      <w:r w:rsidRPr="00AC3FAE">
        <w:t>the</w:t>
      </w:r>
      <w:proofErr w:type="spellEnd"/>
      <w:r w:rsidRPr="00AC3FAE">
        <w:t xml:space="preserve"> </w:t>
      </w:r>
      <w:proofErr w:type="spellStart"/>
      <w:r w:rsidRPr="00AC3FAE">
        <w:t>Separation</w:t>
      </w:r>
      <w:proofErr w:type="spellEnd"/>
      <w:r w:rsidRPr="00AC3FAE">
        <w:t xml:space="preserve"> of Powers. </w:t>
      </w:r>
      <w:proofErr w:type="spellStart"/>
      <w:r w:rsidRPr="00AC3FAE">
        <w:t>The</w:t>
      </w:r>
      <w:proofErr w:type="spellEnd"/>
      <w:r w:rsidRPr="00AC3FAE">
        <w:t xml:space="preserve"> </w:t>
      </w:r>
      <w:proofErr w:type="spellStart"/>
      <w:r w:rsidRPr="00AC3FAE">
        <w:t>Fifth</w:t>
      </w:r>
      <w:proofErr w:type="spellEnd"/>
      <w:r w:rsidRPr="00AC3FAE">
        <w:t xml:space="preserve"> </w:t>
      </w:r>
      <w:proofErr w:type="spellStart"/>
      <w:r w:rsidRPr="00AC3FAE">
        <w:t>Power</w:t>
      </w:r>
      <w:proofErr w:type="spellEnd"/>
      <w:r w:rsidRPr="00AC3FAE">
        <w:t xml:space="preserve">: </w:t>
      </w:r>
      <w:proofErr w:type="spellStart"/>
      <w:r w:rsidRPr="00AC3FAE">
        <w:t>Transparency</w:t>
      </w:r>
      <w:proofErr w:type="spellEnd"/>
      <w:r w:rsidRPr="00AC3FAE">
        <w:t xml:space="preserve"> </w:t>
      </w:r>
      <w:proofErr w:type="spellStart"/>
      <w:r w:rsidRPr="00AC3FAE">
        <w:t>and</w:t>
      </w:r>
      <w:proofErr w:type="spellEnd"/>
      <w:r w:rsidRPr="00AC3FAE">
        <w:t xml:space="preserve"> </w:t>
      </w:r>
      <w:proofErr w:type="spellStart"/>
      <w:r w:rsidRPr="00AC3FAE">
        <w:t>Citizen</w:t>
      </w:r>
      <w:proofErr w:type="spellEnd"/>
      <w:r w:rsidRPr="00AC3FAE">
        <w:t xml:space="preserve"> </w:t>
      </w:r>
      <w:proofErr w:type="spellStart"/>
      <w:r w:rsidRPr="00AC3FAE">
        <w:t>Participation</w:t>
      </w:r>
      <w:proofErr w:type="spellEnd"/>
      <w:r w:rsidRPr="00AC3FAE">
        <w:t xml:space="preserve">. A New </w:t>
      </w:r>
      <w:proofErr w:type="spellStart"/>
      <w:r w:rsidRPr="00AC3FAE">
        <w:t>Proposal</w:t>
      </w:r>
      <w:proofErr w:type="spellEnd"/>
      <w:r w:rsidRPr="00AC3FAE">
        <w:t xml:space="preserve"> of New Latin </w:t>
      </w:r>
      <w:proofErr w:type="spellStart"/>
      <w:r w:rsidRPr="00AC3FAE">
        <w:t>American</w:t>
      </w:r>
      <w:proofErr w:type="spellEnd"/>
      <w:r w:rsidRPr="00AC3FAE">
        <w:t xml:space="preserve"> </w:t>
      </w:r>
      <w:proofErr w:type="spellStart"/>
      <w:r w:rsidRPr="00AC3FAE">
        <w:t>Constitutionalism</w:t>
      </w:r>
      <w:proofErr w:type="spellEnd"/>
      <w:r w:rsidRPr="00AC3FAE">
        <w:t xml:space="preserve"> </w:t>
      </w:r>
      <w:proofErr w:type="spellStart"/>
      <w:r w:rsidRPr="00AC3FAE">
        <w:t>the</w:t>
      </w:r>
      <w:proofErr w:type="spellEnd"/>
      <w:r w:rsidRPr="00AC3FAE">
        <w:t xml:space="preserve"> Case of </w:t>
      </w:r>
      <w:proofErr w:type="spellStart"/>
      <w:r w:rsidRPr="00AC3FAE">
        <w:t>Ecuador</w:t>
      </w:r>
      <w:proofErr w:type="spellEnd"/>
      <w:r w:rsidRPr="00AC3FAE">
        <w:t xml:space="preserve">”, </w:t>
      </w:r>
      <w:proofErr w:type="spellStart"/>
      <w:r w:rsidRPr="00AC3FAE">
        <w:rPr>
          <w:i/>
          <w:iCs/>
        </w:rPr>
        <w:t>Transparency</w:t>
      </w:r>
      <w:proofErr w:type="spellEnd"/>
      <w:r w:rsidRPr="00AC3FAE">
        <w:rPr>
          <w:i/>
          <w:iCs/>
        </w:rPr>
        <w:t xml:space="preserve"> </w:t>
      </w:r>
      <w:proofErr w:type="spellStart"/>
      <w:r w:rsidRPr="00AC3FAE">
        <w:rPr>
          <w:i/>
          <w:iCs/>
        </w:rPr>
        <w:t>and</w:t>
      </w:r>
      <w:proofErr w:type="spellEnd"/>
      <w:r w:rsidRPr="00AC3FAE">
        <w:rPr>
          <w:i/>
          <w:iCs/>
        </w:rPr>
        <w:t xml:space="preserve"> </w:t>
      </w:r>
      <w:proofErr w:type="spellStart"/>
      <w:r w:rsidRPr="00AC3FAE">
        <w:rPr>
          <w:i/>
          <w:iCs/>
        </w:rPr>
        <w:t>Integrity</w:t>
      </w:r>
      <w:proofErr w:type="spellEnd"/>
      <w:r w:rsidRPr="00AC3FAE">
        <w:rPr>
          <w:i/>
          <w:iCs/>
        </w:rPr>
        <w:t xml:space="preserve">: </w:t>
      </w:r>
      <w:proofErr w:type="spellStart"/>
      <w:r w:rsidRPr="00AC3FAE">
        <w:rPr>
          <w:i/>
          <w:iCs/>
        </w:rPr>
        <w:t>Good</w:t>
      </w:r>
      <w:proofErr w:type="spellEnd"/>
      <w:r w:rsidRPr="00AC3FAE">
        <w:rPr>
          <w:i/>
          <w:iCs/>
        </w:rPr>
        <w:t xml:space="preserve"> </w:t>
      </w:r>
      <w:proofErr w:type="spellStart"/>
      <w:r w:rsidRPr="00AC3FAE">
        <w:rPr>
          <w:i/>
          <w:iCs/>
        </w:rPr>
        <w:t>Government</w:t>
      </w:r>
      <w:proofErr w:type="spellEnd"/>
      <w:r w:rsidRPr="00AC3FAE">
        <w:rPr>
          <w:i/>
          <w:iCs/>
        </w:rPr>
        <w:t xml:space="preserve"> </w:t>
      </w:r>
      <w:proofErr w:type="spellStart"/>
      <w:r w:rsidRPr="00AC3FAE">
        <w:rPr>
          <w:i/>
          <w:iCs/>
        </w:rPr>
        <w:t>and</w:t>
      </w:r>
      <w:proofErr w:type="spellEnd"/>
      <w:r w:rsidRPr="00AC3FAE">
        <w:rPr>
          <w:i/>
          <w:iCs/>
        </w:rPr>
        <w:t xml:space="preserve"> </w:t>
      </w:r>
      <w:proofErr w:type="spellStart"/>
      <w:r w:rsidRPr="00AC3FAE">
        <w:rPr>
          <w:i/>
          <w:iCs/>
        </w:rPr>
        <w:t>Democracy</w:t>
      </w:r>
      <w:proofErr w:type="spellEnd"/>
      <w:r w:rsidRPr="00AC3FAE">
        <w:t xml:space="preserve">, </w:t>
      </w:r>
      <w:proofErr w:type="spellStart"/>
      <w:r w:rsidRPr="00AC3FAE">
        <w:t>Vol</w:t>
      </w:r>
      <w:proofErr w:type="spellEnd"/>
      <w:r w:rsidRPr="00AC3FAE">
        <w:t xml:space="preserve">. 7, </w:t>
      </w:r>
      <w:r w:rsidR="00AF4E09" w:rsidRPr="00AC3FAE">
        <w:t>(</w:t>
      </w:r>
      <w:r w:rsidRPr="00AC3FAE">
        <w:t>2014</w:t>
      </w:r>
      <w:r w:rsidR="00AF4E09" w:rsidRPr="00AC3FAE">
        <w:t>),</w:t>
      </w:r>
      <w:r w:rsidRPr="00AC3FAE">
        <w:t xml:space="preserve"> s. 3-5.</w:t>
      </w:r>
    </w:p>
  </w:footnote>
  <w:footnote w:id="54">
    <w:p w14:paraId="5C7D3D9D" w14:textId="0709B25F" w:rsidR="008E1534" w:rsidRPr="00AC3FAE" w:rsidRDefault="008E1534" w:rsidP="001D4667">
      <w:pPr>
        <w:pStyle w:val="FootnoteText"/>
        <w:jc w:val="both"/>
      </w:pPr>
      <w:r w:rsidRPr="00AC3FAE">
        <w:rPr>
          <w:rStyle w:val="FootnoteReference"/>
        </w:rPr>
        <w:footnoteRef/>
      </w:r>
      <w:r w:rsidRPr="00AC3FAE">
        <w:t xml:space="preserve"> Konsey’in yetkileri </w:t>
      </w:r>
      <w:proofErr w:type="spellStart"/>
      <w:r w:rsidRPr="00AC3FAE">
        <w:t>md.</w:t>
      </w:r>
      <w:proofErr w:type="spellEnd"/>
      <w:r w:rsidRPr="00AC3FAE">
        <w:t xml:space="preserve"> 208</w:t>
      </w:r>
      <w:r w:rsidR="00AF4E09" w:rsidRPr="00AC3FAE">
        <w:t>’de düzenlenmiştir.</w:t>
      </w:r>
    </w:p>
  </w:footnote>
  <w:footnote w:id="55">
    <w:p w14:paraId="55FFB507" w14:textId="6720D9C7" w:rsidR="00FE7873" w:rsidRPr="00AC3FAE" w:rsidRDefault="00FE7873" w:rsidP="001D4667">
      <w:pPr>
        <w:pStyle w:val="FootnoteText"/>
        <w:jc w:val="both"/>
      </w:pPr>
      <w:r w:rsidRPr="00AC3FAE">
        <w:rPr>
          <w:rStyle w:val="FootnoteReference"/>
        </w:rPr>
        <w:footnoteRef/>
      </w:r>
      <w:r w:rsidRPr="00AC3FAE">
        <w:t xml:space="preserve"> </w:t>
      </w:r>
      <w:proofErr w:type="spellStart"/>
      <w:r w:rsidRPr="00AC3FAE">
        <w:t>Heinz</w:t>
      </w:r>
      <w:proofErr w:type="spellEnd"/>
      <w:r w:rsidRPr="00AC3FAE">
        <w:t xml:space="preserve"> </w:t>
      </w:r>
      <w:proofErr w:type="spellStart"/>
      <w:r w:rsidRPr="00AC3FAE">
        <w:t>Klug</w:t>
      </w:r>
      <w:proofErr w:type="spellEnd"/>
      <w:r w:rsidRPr="00AC3FAE">
        <w:t xml:space="preserve">, </w:t>
      </w:r>
      <w:proofErr w:type="spellStart"/>
      <w:r w:rsidRPr="00AC3FAE">
        <w:rPr>
          <w:i/>
          <w:iCs/>
        </w:rPr>
        <w:t>The</w:t>
      </w:r>
      <w:proofErr w:type="spellEnd"/>
      <w:r w:rsidRPr="00AC3FAE">
        <w:rPr>
          <w:i/>
          <w:iCs/>
        </w:rPr>
        <w:t xml:space="preserve"> </w:t>
      </w:r>
      <w:proofErr w:type="spellStart"/>
      <w:r w:rsidRPr="00AC3FAE">
        <w:rPr>
          <w:i/>
          <w:iCs/>
        </w:rPr>
        <w:t>Constitution</w:t>
      </w:r>
      <w:proofErr w:type="spellEnd"/>
      <w:r w:rsidRPr="00AC3FAE">
        <w:rPr>
          <w:i/>
          <w:iCs/>
        </w:rPr>
        <w:t xml:space="preserve"> of South </w:t>
      </w:r>
      <w:proofErr w:type="spellStart"/>
      <w:r w:rsidRPr="00AC3FAE">
        <w:rPr>
          <w:i/>
          <w:iCs/>
        </w:rPr>
        <w:t>Africa</w:t>
      </w:r>
      <w:proofErr w:type="spellEnd"/>
      <w:r w:rsidRPr="00AC3FAE">
        <w:rPr>
          <w:i/>
          <w:iCs/>
        </w:rPr>
        <w:t xml:space="preserve">: A </w:t>
      </w:r>
      <w:proofErr w:type="spellStart"/>
      <w:r w:rsidRPr="00AC3FAE">
        <w:rPr>
          <w:i/>
          <w:iCs/>
        </w:rPr>
        <w:t>Contextual</w:t>
      </w:r>
      <w:proofErr w:type="spellEnd"/>
      <w:r w:rsidRPr="00AC3FAE">
        <w:rPr>
          <w:i/>
          <w:iCs/>
        </w:rPr>
        <w:t xml:space="preserve"> Analysis</w:t>
      </w:r>
      <w:r w:rsidRPr="00AC3FAE">
        <w:t>, (Hart</w:t>
      </w:r>
      <w:r w:rsidR="00AF4E09" w:rsidRPr="00AC3FAE">
        <w:t xml:space="preserve"> </w:t>
      </w:r>
      <w:r w:rsidRPr="00AC3FAE">
        <w:t>2010), s. 212 vd.</w:t>
      </w:r>
    </w:p>
  </w:footnote>
  <w:footnote w:id="56">
    <w:p w14:paraId="369F5DBD" w14:textId="73131D2B" w:rsidR="00653DD9" w:rsidRPr="00AC3FAE" w:rsidRDefault="00653DD9" w:rsidP="001D4667">
      <w:pPr>
        <w:pStyle w:val="FootnoteText"/>
        <w:jc w:val="both"/>
      </w:pPr>
      <w:r w:rsidRPr="00AC3FAE">
        <w:rPr>
          <w:rStyle w:val="FootnoteReference"/>
        </w:rPr>
        <w:footnoteRef/>
      </w:r>
      <w:r w:rsidRPr="00AC3FAE">
        <w:t xml:space="preserve"> İlginçtir, Meksika Anayasası da bu kurumların hepsini birden, ayrı bir erk içinde değil ama bağımsızlık vurgusuyla düzenler. Meksika Anayasa Mahkemesi de bu bağımsız kurumların işlevini özel olarak ele almıştır. Bkz. s. 274.</w:t>
      </w:r>
    </w:p>
  </w:footnote>
  <w:footnote w:id="57">
    <w:p w14:paraId="75819F44" w14:textId="6453308F" w:rsidR="00475A2F" w:rsidRPr="00AC3FAE" w:rsidRDefault="00475A2F" w:rsidP="001D4667">
      <w:pPr>
        <w:pStyle w:val="FootnoteText"/>
        <w:jc w:val="both"/>
      </w:pPr>
      <w:r w:rsidRPr="00AC3FAE">
        <w:rPr>
          <w:rStyle w:val="FootnoteReference"/>
        </w:rPr>
        <w:footnoteRef/>
      </w:r>
      <w:r w:rsidRPr="00AC3FAE">
        <w:t xml:space="preserve"> </w:t>
      </w:r>
      <w:r w:rsidR="001C6B6E" w:rsidRPr="00AC3FAE">
        <w:t xml:space="preserve">Marie </w:t>
      </w:r>
      <w:proofErr w:type="spellStart"/>
      <w:r w:rsidR="001C6B6E" w:rsidRPr="00AC3FAE">
        <w:t>Chêne</w:t>
      </w:r>
      <w:proofErr w:type="spellEnd"/>
      <w:r w:rsidR="001C6B6E" w:rsidRPr="00AC3FAE">
        <w:t>, “Anti-</w:t>
      </w:r>
      <w:proofErr w:type="spellStart"/>
      <w:r w:rsidR="001C6B6E" w:rsidRPr="00AC3FAE">
        <w:t>Corruption</w:t>
      </w:r>
      <w:proofErr w:type="spellEnd"/>
      <w:r w:rsidR="001C6B6E" w:rsidRPr="00AC3FAE">
        <w:t xml:space="preserve"> </w:t>
      </w:r>
      <w:proofErr w:type="spellStart"/>
      <w:r w:rsidR="001C6B6E" w:rsidRPr="00AC3FAE">
        <w:t>Clauses</w:t>
      </w:r>
      <w:proofErr w:type="spellEnd"/>
      <w:r w:rsidR="001C6B6E" w:rsidRPr="00AC3FAE">
        <w:t xml:space="preserve"> in </w:t>
      </w:r>
      <w:proofErr w:type="spellStart"/>
      <w:r w:rsidR="001C6B6E" w:rsidRPr="00AC3FAE">
        <w:t>Constitutions</w:t>
      </w:r>
      <w:proofErr w:type="spellEnd"/>
      <w:r w:rsidR="001C6B6E" w:rsidRPr="00AC3FAE">
        <w:t xml:space="preserve">”, </w:t>
      </w:r>
      <w:proofErr w:type="spellStart"/>
      <w:r w:rsidR="001C6B6E" w:rsidRPr="00AC3FAE">
        <w:rPr>
          <w:i/>
          <w:iCs/>
        </w:rPr>
        <w:t>Transparency</w:t>
      </w:r>
      <w:proofErr w:type="spellEnd"/>
      <w:r w:rsidR="001C6B6E" w:rsidRPr="00AC3FAE">
        <w:rPr>
          <w:i/>
          <w:iCs/>
        </w:rPr>
        <w:t xml:space="preserve"> International</w:t>
      </w:r>
      <w:r w:rsidR="001C6B6E" w:rsidRPr="00AC3FAE">
        <w:t>, 2013.</w:t>
      </w:r>
    </w:p>
  </w:footnote>
  <w:footnote w:id="58">
    <w:p w14:paraId="3EFAE1E8" w14:textId="23E36DB1" w:rsidR="006753E7" w:rsidRPr="00AC3FAE" w:rsidRDefault="006753E7" w:rsidP="001D4667">
      <w:pPr>
        <w:pStyle w:val="FootnoteText"/>
        <w:jc w:val="both"/>
      </w:pPr>
      <w:r w:rsidRPr="00AC3FAE">
        <w:rPr>
          <w:rStyle w:val="FootnoteReference"/>
        </w:rPr>
        <w:footnoteRef/>
      </w:r>
      <w:r w:rsidRPr="00AC3FAE">
        <w:t xml:space="preserve"> Bu birimin kurulmasına öncülük eden </w:t>
      </w:r>
      <w:r w:rsidR="001A14CE" w:rsidRPr="00AC3FAE">
        <w:t xml:space="preserve">eski Başkan </w:t>
      </w:r>
      <w:proofErr w:type="spellStart"/>
      <w:r w:rsidR="001A14CE" w:rsidRPr="00AC3FAE">
        <w:t>Thabo</w:t>
      </w:r>
      <w:proofErr w:type="spellEnd"/>
      <w:r w:rsidR="001A14CE" w:rsidRPr="00AC3FAE">
        <w:t xml:space="preserve"> </w:t>
      </w:r>
      <w:proofErr w:type="spellStart"/>
      <w:r w:rsidR="001A14CE" w:rsidRPr="00AC3FAE">
        <w:t>Mvuyelwa</w:t>
      </w:r>
      <w:proofErr w:type="spellEnd"/>
      <w:r w:rsidR="001A14CE" w:rsidRPr="00AC3FAE">
        <w:t xml:space="preserve"> </w:t>
      </w:r>
      <w:proofErr w:type="spellStart"/>
      <w:r w:rsidR="001A14CE" w:rsidRPr="00AC3FAE">
        <w:t>Mbeki</w:t>
      </w:r>
      <w:proofErr w:type="spellEnd"/>
      <w:r w:rsidR="001A14CE" w:rsidRPr="00AC3FAE">
        <w:t xml:space="preserve"> idi. </w:t>
      </w:r>
    </w:p>
  </w:footnote>
  <w:footnote w:id="59">
    <w:p w14:paraId="3759B212" w14:textId="0C035570" w:rsidR="006753E7" w:rsidRPr="00AC3FAE" w:rsidRDefault="006753E7" w:rsidP="001D4667">
      <w:pPr>
        <w:pStyle w:val="FootnoteText"/>
        <w:jc w:val="both"/>
      </w:pPr>
      <w:r w:rsidRPr="00AC3FAE">
        <w:rPr>
          <w:rStyle w:val="FootnoteReference"/>
        </w:rPr>
        <w:footnoteRef/>
      </w:r>
      <w:r w:rsidRPr="00AC3FAE">
        <w:t xml:space="preserve"> </w:t>
      </w:r>
      <w:r w:rsidR="001A14CE" w:rsidRPr="00AC3FAE">
        <w:t xml:space="preserve">Bu hareketin başında, eski Başkan </w:t>
      </w:r>
      <w:proofErr w:type="spellStart"/>
      <w:r w:rsidR="001A14CE" w:rsidRPr="00AC3FAE">
        <w:t>Jacob</w:t>
      </w:r>
      <w:proofErr w:type="spellEnd"/>
      <w:r w:rsidR="001A14CE" w:rsidRPr="00AC3FAE">
        <w:t xml:space="preserve"> </w:t>
      </w:r>
      <w:r w:rsidRPr="00AC3FAE">
        <w:t>Zuma</w:t>
      </w:r>
      <w:r w:rsidR="001A14CE" w:rsidRPr="00AC3FAE">
        <w:t xml:space="preserve"> yer alıyordu.</w:t>
      </w:r>
    </w:p>
  </w:footnote>
  <w:footnote w:id="60">
    <w:p w14:paraId="6425976F" w14:textId="4D746FC9" w:rsidR="006753E7" w:rsidRPr="00AC3FAE" w:rsidRDefault="006753E7" w:rsidP="001D4667">
      <w:pPr>
        <w:pStyle w:val="FootnoteText"/>
        <w:jc w:val="both"/>
      </w:pPr>
      <w:r w:rsidRPr="00AC3FAE">
        <w:rPr>
          <w:rStyle w:val="FootnoteReference"/>
        </w:rPr>
        <w:footnoteRef/>
      </w:r>
      <w:r w:rsidRPr="00AC3FAE">
        <w:t xml:space="preserve"> </w:t>
      </w:r>
      <w:proofErr w:type="spellStart"/>
      <w:r w:rsidR="007C7E8A" w:rsidRPr="00AC3FAE">
        <w:rPr>
          <w:i/>
          <w:iCs/>
        </w:rPr>
        <w:t>Glenister</w:t>
      </w:r>
      <w:proofErr w:type="spellEnd"/>
      <w:r w:rsidR="007C7E8A" w:rsidRPr="00AC3FAE">
        <w:rPr>
          <w:i/>
          <w:iCs/>
        </w:rPr>
        <w:t xml:space="preserve"> v. </w:t>
      </w:r>
      <w:proofErr w:type="spellStart"/>
      <w:r w:rsidR="007C7E8A" w:rsidRPr="00AC3FAE">
        <w:rPr>
          <w:i/>
          <w:iCs/>
        </w:rPr>
        <w:t>President</w:t>
      </w:r>
      <w:proofErr w:type="spellEnd"/>
      <w:r w:rsidR="007C7E8A" w:rsidRPr="00AC3FAE">
        <w:rPr>
          <w:i/>
          <w:iCs/>
        </w:rPr>
        <w:t xml:space="preserve"> of </w:t>
      </w:r>
      <w:proofErr w:type="spellStart"/>
      <w:r w:rsidR="007C7E8A" w:rsidRPr="00AC3FAE">
        <w:rPr>
          <w:i/>
          <w:iCs/>
        </w:rPr>
        <w:t>the</w:t>
      </w:r>
      <w:proofErr w:type="spellEnd"/>
      <w:r w:rsidR="007C7E8A" w:rsidRPr="00AC3FAE">
        <w:rPr>
          <w:i/>
          <w:iCs/>
        </w:rPr>
        <w:t xml:space="preserve"> </w:t>
      </w:r>
      <w:proofErr w:type="spellStart"/>
      <w:r w:rsidR="007C7E8A" w:rsidRPr="00AC3FAE">
        <w:rPr>
          <w:i/>
          <w:iCs/>
        </w:rPr>
        <w:t>Republic</w:t>
      </w:r>
      <w:proofErr w:type="spellEnd"/>
      <w:r w:rsidR="007C7E8A" w:rsidRPr="00AC3FAE">
        <w:rPr>
          <w:i/>
          <w:iCs/>
        </w:rPr>
        <w:t xml:space="preserve"> of South </w:t>
      </w:r>
      <w:proofErr w:type="spellStart"/>
      <w:r w:rsidR="007C7E8A" w:rsidRPr="00AC3FAE">
        <w:rPr>
          <w:i/>
          <w:iCs/>
        </w:rPr>
        <w:t>Africa</w:t>
      </w:r>
      <w:proofErr w:type="spellEnd"/>
      <w:r w:rsidR="007C7E8A" w:rsidRPr="00AC3FAE">
        <w:rPr>
          <w:i/>
          <w:iCs/>
        </w:rPr>
        <w:t xml:space="preserve"> </w:t>
      </w:r>
      <w:proofErr w:type="spellStart"/>
      <w:r w:rsidR="007C7E8A" w:rsidRPr="00AC3FAE">
        <w:rPr>
          <w:i/>
          <w:iCs/>
        </w:rPr>
        <w:t>and</w:t>
      </w:r>
      <w:proofErr w:type="spellEnd"/>
      <w:r w:rsidR="007C7E8A" w:rsidRPr="00AC3FAE">
        <w:rPr>
          <w:i/>
          <w:iCs/>
        </w:rPr>
        <w:t xml:space="preserve"> </w:t>
      </w:r>
      <w:proofErr w:type="spellStart"/>
      <w:r w:rsidR="007C7E8A" w:rsidRPr="00AC3FAE">
        <w:rPr>
          <w:i/>
          <w:iCs/>
        </w:rPr>
        <w:t>Others</w:t>
      </w:r>
      <w:proofErr w:type="spellEnd"/>
      <w:r w:rsidR="007C7E8A" w:rsidRPr="00AC3FAE">
        <w:t xml:space="preserve"> (CCT 48/10), [2011] ZACC 6; 2011(3) SA 347 (CC); 2011 (7) BCLR 651 (CC).</w:t>
      </w:r>
    </w:p>
  </w:footnote>
  <w:footnote w:id="61">
    <w:p w14:paraId="21543F1E" w14:textId="20D74CB0" w:rsidR="00573D94" w:rsidRPr="00AC3FAE" w:rsidRDefault="00573D94" w:rsidP="001D4667">
      <w:pPr>
        <w:pStyle w:val="FootnoteText"/>
        <w:jc w:val="both"/>
      </w:pPr>
      <w:r w:rsidRPr="00AC3FAE">
        <w:rPr>
          <w:rStyle w:val="FootnoteReference"/>
        </w:rPr>
        <w:footnoteRef/>
      </w:r>
      <w:r w:rsidRPr="00AC3FAE">
        <w:t xml:space="preserve"> Bu karar</w:t>
      </w:r>
      <w:r w:rsidR="00AF4E09" w:rsidRPr="00AC3FAE">
        <w:t xml:space="preserve">, </w:t>
      </w:r>
      <w:r w:rsidRPr="00AC3FAE">
        <w:t xml:space="preserve">bir oy farkla verilmişti, dolayısıyla yasama organının kozmetik değişiklikler yapmasından sonra takip edilemedi. Mahkeme bir bakıma içtihadından döndü. </w:t>
      </w:r>
      <w:proofErr w:type="spellStart"/>
      <w:r w:rsidR="001361AA" w:rsidRPr="00AC3FAE">
        <w:t>Tushnet</w:t>
      </w:r>
      <w:proofErr w:type="spellEnd"/>
      <w:r w:rsidR="001361AA" w:rsidRPr="00AC3FAE">
        <w:t>,</w:t>
      </w:r>
      <w:r w:rsidR="008424EA" w:rsidRPr="00AC3FAE">
        <w:t xml:space="preserve"> </w:t>
      </w:r>
      <w:proofErr w:type="spellStart"/>
      <w:r w:rsidR="008424EA" w:rsidRPr="00AC3FAE">
        <w:rPr>
          <w:i/>
          <w:iCs/>
        </w:rPr>
        <w:t>The</w:t>
      </w:r>
      <w:proofErr w:type="spellEnd"/>
      <w:r w:rsidR="008424EA" w:rsidRPr="00AC3FAE">
        <w:rPr>
          <w:i/>
          <w:iCs/>
        </w:rPr>
        <w:t xml:space="preserve"> New </w:t>
      </w:r>
      <w:proofErr w:type="spellStart"/>
      <w:r w:rsidR="008424EA" w:rsidRPr="00AC3FAE">
        <w:rPr>
          <w:i/>
          <w:iCs/>
        </w:rPr>
        <w:t>Fourth</w:t>
      </w:r>
      <w:proofErr w:type="spellEnd"/>
      <w:r w:rsidR="008424EA" w:rsidRPr="00AC3FAE">
        <w:rPr>
          <w:i/>
          <w:iCs/>
        </w:rPr>
        <w:t xml:space="preserve"> </w:t>
      </w:r>
      <w:proofErr w:type="spellStart"/>
      <w:r w:rsidR="008424EA" w:rsidRPr="00AC3FAE">
        <w:rPr>
          <w:i/>
          <w:iCs/>
        </w:rPr>
        <w:t>Branch</w:t>
      </w:r>
      <w:proofErr w:type="spellEnd"/>
      <w:r w:rsidR="008424EA" w:rsidRPr="00AC3FAE">
        <w:t>,</w:t>
      </w:r>
      <w:r w:rsidR="001361AA" w:rsidRPr="00AC3FAE">
        <w:t xml:space="preserve"> s. 113.</w:t>
      </w:r>
    </w:p>
  </w:footnote>
  <w:footnote w:id="62">
    <w:p w14:paraId="121B5977" w14:textId="4D3A9F1A" w:rsidR="00AC3FAE" w:rsidRPr="00AC3FAE" w:rsidRDefault="00AC3FAE">
      <w:pPr>
        <w:pStyle w:val="FootnoteText"/>
      </w:pPr>
      <w:r w:rsidRPr="00AC3FAE">
        <w:rPr>
          <w:rStyle w:val="FootnoteReference"/>
        </w:rPr>
        <w:footnoteRef/>
      </w:r>
      <w:r w:rsidRPr="00AC3FAE">
        <w:t xml:space="preserve"> </w:t>
      </w:r>
      <w:r w:rsidRPr="00AC3FAE">
        <w:rPr>
          <w:i/>
          <w:iCs/>
        </w:rPr>
        <w:t xml:space="preserve">South </w:t>
      </w:r>
      <w:proofErr w:type="spellStart"/>
      <w:r w:rsidRPr="00AC3FAE">
        <w:rPr>
          <w:i/>
          <w:iCs/>
        </w:rPr>
        <w:t>African</w:t>
      </w:r>
      <w:proofErr w:type="spellEnd"/>
      <w:r w:rsidRPr="00AC3FAE">
        <w:rPr>
          <w:i/>
          <w:iCs/>
        </w:rPr>
        <w:t xml:space="preserve"> </w:t>
      </w:r>
      <w:proofErr w:type="spellStart"/>
      <w:r w:rsidRPr="00AC3FAE">
        <w:rPr>
          <w:i/>
          <w:iCs/>
        </w:rPr>
        <w:t>Broadcasting</w:t>
      </w:r>
      <w:proofErr w:type="spellEnd"/>
      <w:r w:rsidRPr="00AC3FAE">
        <w:rPr>
          <w:i/>
          <w:iCs/>
        </w:rPr>
        <w:t xml:space="preserve"> </w:t>
      </w:r>
      <w:proofErr w:type="spellStart"/>
      <w:r w:rsidRPr="00AC3FAE">
        <w:rPr>
          <w:i/>
          <w:iCs/>
        </w:rPr>
        <w:t>Corp</w:t>
      </w:r>
      <w:proofErr w:type="spellEnd"/>
      <w:r w:rsidRPr="00AC3FAE">
        <w:rPr>
          <w:i/>
          <w:iCs/>
        </w:rPr>
        <w:t xml:space="preserve">. v. </w:t>
      </w:r>
      <w:proofErr w:type="spellStart"/>
      <w:r w:rsidRPr="00AC3FAE">
        <w:rPr>
          <w:i/>
          <w:iCs/>
        </w:rPr>
        <w:t>Democratic</w:t>
      </w:r>
      <w:proofErr w:type="spellEnd"/>
      <w:r w:rsidRPr="00AC3FAE">
        <w:rPr>
          <w:i/>
          <w:iCs/>
        </w:rPr>
        <w:t xml:space="preserve"> </w:t>
      </w:r>
      <w:proofErr w:type="spellStart"/>
      <w:r w:rsidRPr="00AC3FAE">
        <w:rPr>
          <w:i/>
          <w:iCs/>
        </w:rPr>
        <w:t>Alliance</w:t>
      </w:r>
      <w:proofErr w:type="spellEnd"/>
      <w:r w:rsidRPr="00AC3FAE">
        <w:t xml:space="preserve">, 2015 (4) </w:t>
      </w:r>
      <w:proofErr w:type="spellStart"/>
      <w:r w:rsidRPr="00AC3FAE">
        <w:t>All</w:t>
      </w:r>
      <w:proofErr w:type="spellEnd"/>
      <w:r w:rsidRPr="00AC3FAE">
        <w:t xml:space="preserve"> SA 719 (SCA).</w:t>
      </w:r>
    </w:p>
  </w:footnote>
  <w:footnote w:id="63">
    <w:p w14:paraId="4061DCAF" w14:textId="7F11D909" w:rsidR="00EB0C8C" w:rsidRPr="00AC3FAE" w:rsidRDefault="00EB0C8C" w:rsidP="001D4667">
      <w:pPr>
        <w:pStyle w:val="FootnoteText"/>
        <w:jc w:val="both"/>
      </w:pPr>
      <w:r w:rsidRPr="00AC3FAE">
        <w:rPr>
          <w:rStyle w:val="FootnoteReference"/>
        </w:rPr>
        <w:footnoteRef/>
      </w:r>
      <w:r w:rsidRPr="00AC3FAE">
        <w:t xml:space="preserve"> Bu konuda bir sınırlama yoktur ve alternatif uyuşmazlık çözüm yöntemlerini de içerdiği için gerekçenin bağlayıcılığı konusunu gündeme getirir.</w:t>
      </w:r>
    </w:p>
  </w:footnote>
  <w:footnote w:id="64">
    <w:p w14:paraId="0D9B67DD" w14:textId="77777777" w:rsidR="00EB0C8C" w:rsidRPr="00AC3FAE" w:rsidRDefault="000E04AF" w:rsidP="001D4667">
      <w:pPr>
        <w:pStyle w:val="FootnoteText"/>
        <w:jc w:val="both"/>
      </w:pPr>
      <w:r w:rsidRPr="00AC3FAE">
        <w:rPr>
          <w:rStyle w:val="FootnoteReference"/>
        </w:rPr>
        <w:footnoteRef/>
      </w:r>
      <w:r w:rsidRPr="00AC3FAE">
        <w:t xml:space="preserve"> </w:t>
      </w:r>
      <w:proofErr w:type="spellStart"/>
      <w:r w:rsidRPr="00AC3FAE">
        <w:rPr>
          <w:i/>
          <w:iCs/>
        </w:rPr>
        <w:t>Economic</w:t>
      </w:r>
      <w:proofErr w:type="spellEnd"/>
      <w:r w:rsidRPr="00AC3FAE">
        <w:rPr>
          <w:i/>
          <w:iCs/>
        </w:rPr>
        <w:t xml:space="preserve"> </w:t>
      </w:r>
      <w:proofErr w:type="spellStart"/>
      <w:r w:rsidRPr="00AC3FAE">
        <w:rPr>
          <w:i/>
          <w:iCs/>
        </w:rPr>
        <w:t>Freedom</w:t>
      </w:r>
      <w:proofErr w:type="spellEnd"/>
      <w:r w:rsidRPr="00AC3FAE">
        <w:rPr>
          <w:i/>
          <w:iCs/>
        </w:rPr>
        <w:t xml:space="preserve"> </w:t>
      </w:r>
      <w:proofErr w:type="spellStart"/>
      <w:r w:rsidRPr="00AC3FAE">
        <w:rPr>
          <w:i/>
          <w:iCs/>
        </w:rPr>
        <w:t>Fighters</w:t>
      </w:r>
      <w:proofErr w:type="spellEnd"/>
      <w:r w:rsidRPr="00AC3FAE">
        <w:rPr>
          <w:i/>
          <w:iCs/>
        </w:rPr>
        <w:t xml:space="preserve"> v. </w:t>
      </w:r>
      <w:proofErr w:type="spellStart"/>
      <w:r w:rsidRPr="00AC3FAE">
        <w:rPr>
          <w:i/>
          <w:iCs/>
        </w:rPr>
        <w:t>Speaker</w:t>
      </w:r>
      <w:proofErr w:type="spellEnd"/>
      <w:r w:rsidRPr="00AC3FAE">
        <w:rPr>
          <w:i/>
          <w:iCs/>
        </w:rPr>
        <w:t xml:space="preserve"> of </w:t>
      </w:r>
      <w:proofErr w:type="spellStart"/>
      <w:r w:rsidRPr="00AC3FAE">
        <w:rPr>
          <w:i/>
          <w:iCs/>
        </w:rPr>
        <w:t>the</w:t>
      </w:r>
      <w:proofErr w:type="spellEnd"/>
      <w:r w:rsidRPr="00AC3FAE">
        <w:rPr>
          <w:i/>
          <w:iCs/>
        </w:rPr>
        <w:t xml:space="preserve"> </w:t>
      </w:r>
      <w:proofErr w:type="spellStart"/>
      <w:r w:rsidRPr="00AC3FAE">
        <w:rPr>
          <w:i/>
          <w:iCs/>
        </w:rPr>
        <w:t>National</w:t>
      </w:r>
      <w:proofErr w:type="spellEnd"/>
      <w:r w:rsidRPr="00AC3FAE">
        <w:rPr>
          <w:i/>
          <w:iCs/>
        </w:rPr>
        <w:t xml:space="preserve"> Assembly</w:t>
      </w:r>
      <w:r w:rsidRPr="00AC3FAE">
        <w:t>, 2016(3) SA 580 (CC)</w:t>
      </w:r>
      <w:r w:rsidR="00EB0C8C" w:rsidRPr="00AC3FAE">
        <w:t xml:space="preserve">. </w:t>
      </w:r>
    </w:p>
    <w:p w14:paraId="3DD341D8" w14:textId="1C6F706E" w:rsidR="000E04AF" w:rsidRPr="00AC3FAE" w:rsidRDefault="00EB0C8C" w:rsidP="001D4667">
      <w:pPr>
        <w:pStyle w:val="FootnoteText"/>
        <w:jc w:val="both"/>
      </w:pPr>
      <w:r w:rsidRPr="00AC3FAE">
        <w:t>Md. 181 genel olarak</w:t>
      </w:r>
      <w:r w:rsidR="001A14CE" w:rsidRPr="00AC3FAE">
        <w:t xml:space="preserve">, </w:t>
      </w:r>
      <w:proofErr w:type="spellStart"/>
      <w:r w:rsidRPr="00AC3FAE">
        <w:t>md.</w:t>
      </w:r>
      <w:proofErr w:type="spellEnd"/>
      <w:r w:rsidRPr="00AC3FAE">
        <w:t xml:space="preserve"> 182 </w:t>
      </w:r>
      <w:r w:rsidR="001A14CE" w:rsidRPr="00AC3FAE">
        <w:t xml:space="preserve">ise </w:t>
      </w:r>
      <w:r w:rsidRPr="00AC3FAE">
        <w:t xml:space="preserve">özel olarak bu çerçeveyi ortaya koyar. </w:t>
      </w:r>
    </w:p>
  </w:footnote>
  <w:footnote w:id="65">
    <w:p w14:paraId="413464C7" w14:textId="420B4D6C" w:rsidR="00D7110A" w:rsidRPr="00AC3FAE" w:rsidRDefault="00D7110A" w:rsidP="001D4667">
      <w:pPr>
        <w:pStyle w:val="FootnoteText"/>
        <w:jc w:val="both"/>
      </w:pPr>
      <w:r w:rsidRPr="00AC3FAE">
        <w:rPr>
          <w:rStyle w:val="FootnoteReference"/>
        </w:rPr>
        <w:footnoteRef/>
      </w:r>
      <w:r w:rsidRPr="00AC3FAE">
        <w:t xml:space="preserve"> Bu konuda bkz. Mümtaz Soysal, </w:t>
      </w:r>
      <w:r w:rsidRPr="00AC3FAE">
        <w:rPr>
          <w:i/>
          <w:iCs/>
        </w:rPr>
        <w:t>Dinamik Anayasa</w:t>
      </w:r>
      <w:r w:rsidRPr="00AC3FAE">
        <w:t xml:space="preserve"> </w:t>
      </w:r>
      <w:r w:rsidRPr="00AC3FAE">
        <w:rPr>
          <w:i/>
          <w:iCs/>
        </w:rPr>
        <w:t>Anlayışı</w:t>
      </w:r>
      <w:r w:rsidRPr="00AC3FAE">
        <w:t>, (SBF 19</w:t>
      </w:r>
      <w:r w:rsidR="00195A65" w:rsidRPr="00AC3FAE">
        <w:t>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AF4"/>
    <w:multiLevelType w:val="hybridMultilevel"/>
    <w:tmpl w:val="6930F378"/>
    <w:lvl w:ilvl="0" w:tplc="034CB3EE">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6927C4"/>
    <w:multiLevelType w:val="hybridMultilevel"/>
    <w:tmpl w:val="2B8014D2"/>
    <w:lvl w:ilvl="0" w:tplc="034CB3EE">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99"/>
    <w:rsid w:val="00014242"/>
    <w:rsid w:val="00044806"/>
    <w:rsid w:val="00060393"/>
    <w:rsid w:val="00062829"/>
    <w:rsid w:val="00064779"/>
    <w:rsid w:val="00072815"/>
    <w:rsid w:val="000833C1"/>
    <w:rsid w:val="000A144E"/>
    <w:rsid w:val="000A4362"/>
    <w:rsid w:val="000B4D10"/>
    <w:rsid w:val="000E04AF"/>
    <w:rsid w:val="00112A54"/>
    <w:rsid w:val="00117476"/>
    <w:rsid w:val="00120AD1"/>
    <w:rsid w:val="001361AA"/>
    <w:rsid w:val="001366A6"/>
    <w:rsid w:val="00150639"/>
    <w:rsid w:val="00174B4E"/>
    <w:rsid w:val="00195A65"/>
    <w:rsid w:val="001A14CE"/>
    <w:rsid w:val="001C6B6E"/>
    <w:rsid w:val="001D3DF9"/>
    <w:rsid w:val="001D4667"/>
    <w:rsid w:val="001E7C09"/>
    <w:rsid w:val="00201DBB"/>
    <w:rsid w:val="002022F1"/>
    <w:rsid w:val="00203832"/>
    <w:rsid w:val="002123E4"/>
    <w:rsid w:val="0021739D"/>
    <w:rsid w:val="002213C3"/>
    <w:rsid w:val="00242B16"/>
    <w:rsid w:val="002511C1"/>
    <w:rsid w:val="00265925"/>
    <w:rsid w:val="00287469"/>
    <w:rsid w:val="002B0824"/>
    <w:rsid w:val="002B0D46"/>
    <w:rsid w:val="002B7E0F"/>
    <w:rsid w:val="002C3114"/>
    <w:rsid w:val="002D2A81"/>
    <w:rsid w:val="002E0984"/>
    <w:rsid w:val="00326BD6"/>
    <w:rsid w:val="00336A95"/>
    <w:rsid w:val="00355517"/>
    <w:rsid w:val="0037142B"/>
    <w:rsid w:val="00375BB1"/>
    <w:rsid w:val="003773BB"/>
    <w:rsid w:val="00387B98"/>
    <w:rsid w:val="00390958"/>
    <w:rsid w:val="00401070"/>
    <w:rsid w:val="004200EA"/>
    <w:rsid w:val="00434747"/>
    <w:rsid w:val="00447B86"/>
    <w:rsid w:val="00475A2F"/>
    <w:rsid w:val="004A17D2"/>
    <w:rsid w:val="004D5BCD"/>
    <w:rsid w:val="004D6A9C"/>
    <w:rsid w:val="004E63A0"/>
    <w:rsid w:val="004F6700"/>
    <w:rsid w:val="00504CB4"/>
    <w:rsid w:val="00507E10"/>
    <w:rsid w:val="00522806"/>
    <w:rsid w:val="00573D94"/>
    <w:rsid w:val="005B4104"/>
    <w:rsid w:val="005F034C"/>
    <w:rsid w:val="005F4C2B"/>
    <w:rsid w:val="00627806"/>
    <w:rsid w:val="006356BA"/>
    <w:rsid w:val="00653DD9"/>
    <w:rsid w:val="0066648F"/>
    <w:rsid w:val="006705C0"/>
    <w:rsid w:val="006753E7"/>
    <w:rsid w:val="006855C6"/>
    <w:rsid w:val="00695836"/>
    <w:rsid w:val="006C3CC5"/>
    <w:rsid w:val="006E489F"/>
    <w:rsid w:val="006E5A94"/>
    <w:rsid w:val="006F4197"/>
    <w:rsid w:val="006F449B"/>
    <w:rsid w:val="007012B8"/>
    <w:rsid w:val="00707F51"/>
    <w:rsid w:val="00723C0E"/>
    <w:rsid w:val="00726D77"/>
    <w:rsid w:val="0076091E"/>
    <w:rsid w:val="007813B8"/>
    <w:rsid w:val="007C3229"/>
    <w:rsid w:val="007C7E8A"/>
    <w:rsid w:val="008424EA"/>
    <w:rsid w:val="0084389E"/>
    <w:rsid w:val="008559C5"/>
    <w:rsid w:val="008666E5"/>
    <w:rsid w:val="00867257"/>
    <w:rsid w:val="008D5409"/>
    <w:rsid w:val="008E1534"/>
    <w:rsid w:val="008E2800"/>
    <w:rsid w:val="008F13F5"/>
    <w:rsid w:val="008F4AC8"/>
    <w:rsid w:val="00923AF2"/>
    <w:rsid w:val="00932636"/>
    <w:rsid w:val="00932EC8"/>
    <w:rsid w:val="009378D8"/>
    <w:rsid w:val="00944A2C"/>
    <w:rsid w:val="009531D9"/>
    <w:rsid w:val="00955367"/>
    <w:rsid w:val="009651D6"/>
    <w:rsid w:val="009A1CCC"/>
    <w:rsid w:val="009A7493"/>
    <w:rsid w:val="009B760B"/>
    <w:rsid w:val="009C4D5B"/>
    <w:rsid w:val="009D730E"/>
    <w:rsid w:val="009E1D36"/>
    <w:rsid w:val="009E2F99"/>
    <w:rsid w:val="009F03B4"/>
    <w:rsid w:val="00A42716"/>
    <w:rsid w:val="00A61448"/>
    <w:rsid w:val="00AB0047"/>
    <w:rsid w:val="00AB2647"/>
    <w:rsid w:val="00AB5502"/>
    <w:rsid w:val="00AC39E0"/>
    <w:rsid w:val="00AC3FAE"/>
    <w:rsid w:val="00AD0A78"/>
    <w:rsid w:val="00AF07E4"/>
    <w:rsid w:val="00AF4E09"/>
    <w:rsid w:val="00B01099"/>
    <w:rsid w:val="00B02F79"/>
    <w:rsid w:val="00B07B66"/>
    <w:rsid w:val="00B21A7C"/>
    <w:rsid w:val="00B26218"/>
    <w:rsid w:val="00B32281"/>
    <w:rsid w:val="00B40634"/>
    <w:rsid w:val="00B42974"/>
    <w:rsid w:val="00B81D67"/>
    <w:rsid w:val="00B9199F"/>
    <w:rsid w:val="00BC5A67"/>
    <w:rsid w:val="00BC68E7"/>
    <w:rsid w:val="00BD4226"/>
    <w:rsid w:val="00C05B73"/>
    <w:rsid w:val="00C547EA"/>
    <w:rsid w:val="00C57A35"/>
    <w:rsid w:val="00C71006"/>
    <w:rsid w:val="00C95A17"/>
    <w:rsid w:val="00CA0991"/>
    <w:rsid w:val="00CA1ADF"/>
    <w:rsid w:val="00CA1FD4"/>
    <w:rsid w:val="00CB684C"/>
    <w:rsid w:val="00CC0A42"/>
    <w:rsid w:val="00CE6E89"/>
    <w:rsid w:val="00CF2730"/>
    <w:rsid w:val="00D040E3"/>
    <w:rsid w:val="00D40209"/>
    <w:rsid w:val="00D4139A"/>
    <w:rsid w:val="00D7110A"/>
    <w:rsid w:val="00D7113C"/>
    <w:rsid w:val="00D922AA"/>
    <w:rsid w:val="00DA3148"/>
    <w:rsid w:val="00DA772C"/>
    <w:rsid w:val="00DB32BA"/>
    <w:rsid w:val="00E16718"/>
    <w:rsid w:val="00E5125F"/>
    <w:rsid w:val="00E72B04"/>
    <w:rsid w:val="00E81B91"/>
    <w:rsid w:val="00E8456A"/>
    <w:rsid w:val="00E97418"/>
    <w:rsid w:val="00EA7C21"/>
    <w:rsid w:val="00EB0C8C"/>
    <w:rsid w:val="00F34C89"/>
    <w:rsid w:val="00F379EF"/>
    <w:rsid w:val="00F6506C"/>
    <w:rsid w:val="00F72933"/>
    <w:rsid w:val="00FE7873"/>
    <w:rsid w:val="00FF2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3BEC"/>
  <w15:chartTrackingRefBased/>
  <w15:docId w15:val="{4F86E85C-992A-904A-84B1-6EA99CF8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099"/>
  </w:style>
  <w:style w:type="paragraph" w:styleId="Heading1">
    <w:name w:val="heading 1"/>
    <w:basedOn w:val="Normal"/>
    <w:next w:val="Normal"/>
    <w:link w:val="Heading1Char"/>
    <w:uiPriority w:val="9"/>
    <w:qFormat/>
    <w:rsid w:val="00653DD9"/>
    <w:pPr>
      <w:spacing w:before="120"/>
      <w:jc w:val="both"/>
      <w:outlineLvl w:val="0"/>
    </w:pPr>
    <w:rPr>
      <w:b/>
      <w:bCs/>
      <w:smallCaps/>
    </w:rPr>
  </w:style>
  <w:style w:type="paragraph" w:styleId="Heading2">
    <w:name w:val="heading 2"/>
    <w:basedOn w:val="Normal"/>
    <w:next w:val="Normal"/>
    <w:link w:val="Heading2Char"/>
    <w:uiPriority w:val="9"/>
    <w:unhideWhenUsed/>
    <w:qFormat/>
    <w:rsid w:val="00653DD9"/>
    <w:pPr>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1099"/>
    <w:pPr>
      <w:spacing w:after="0"/>
    </w:pPr>
    <w:rPr>
      <w:sz w:val="20"/>
      <w:szCs w:val="20"/>
    </w:rPr>
  </w:style>
  <w:style w:type="character" w:customStyle="1" w:styleId="FootnoteTextChar">
    <w:name w:val="Footnote Text Char"/>
    <w:basedOn w:val="DefaultParagraphFont"/>
    <w:link w:val="FootnoteText"/>
    <w:uiPriority w:val="99"/>
    <w:rsid w:val="00B01099"/>
    <w:rPr>
      <w:sz w:val="20"/>
      <w:szCs w:val="20"/>
    </w:rPr>
  </w:style>
  <w:style w:type="character" w:styleId="FootnoteReference">
    <w:name w:val="footnote reference"/>
    <w:basedOn w:val="DefaultParagraphFont"/>
    <w:uiPriority w:val="99"/>
    <w:semiHidden/>
    <w:unhideWhenUsed/>
    <w:rsid w:val="00B01099"/>
    <w:rPr>
      <w:vertAlign w:val="superscript"/>
    </w:rPr>
  </w:style>
  <w:style w:type="character" w:styleId="Hyperlink">
    <w:name w:val="Hyperlink"/>
    <w:basedOn w:val="DefaultParagraphFont"/>
    <w:uiPriority w:val="99"/>
    <w:unhideWhenUsed/>
    <w:rsid w:val="00B01099"/>
    <w:rPr>
      <w:color w:val="0563C1" w:themeColor="hyperlink"/>
      <w:u w:val="single"/>
    </w:rPr>
  </w:style>
  <w:style w:type="paragraph" w:styleId="Header">
    <w:name w:val="header"/>
    <w:basedOn w:val="Normal"/>
    <w:link w:val="HeaderChar"/>
    <w:uiPriority w:val="99"/>
    <w:unhideWhenUsed/>
    <w:rsid w:val="00B07B66"/>
    <w:pPr>
      <w:tabs>
        <w:tab w:val="center" w:pos="4536"/>
        <w:tab w:val="right" w:pos="9072"/>
      </w:tabs>
      <w:spacing w:after="0"/>
    </w:pPr>
  </w:style>
  <w:style w:type="character" w:customStyle="1" w:styleId="HeaderChar">
    <w:name w:val="Header Char"/>
    <w:basedOn w:val="DefaultParagraphFont"/>
    <w:link w:val="Header"/>
    <w:uiPriority w:val="99"/>
    <w:rsid w:val="00B07B66"/>
  </w:style>
  <w:style w:type="paragraph" w:styleId="Footer">
    <w:name w:val="footer"/>
    <w:basedOn w:val="Normal"/>
    <w:link w:val="FooterChar"/>
    <w:uiPriority w:val="99"/>
    <w:unhideWhenUsed/>
    <w:rsid w:val="00B07B66"/>
    <w:pPr>
      <w:tabs>
        <w:tab w:val="center" w:pos="4536"/>
        <w:tab w:val="right" w:pos="9072"/>
      </w:tabs>
      <w:spacing w:after="0"/>
    </w:pPr>
  </w:style>
  <w:style w:type="character" w:customStyle="1" w:styleId="FooterChar">
    <w:name w:val="Footer Char"/>
    <w:basedOn w:val="DefaultParagraphFont"/>
    <w:link w:val="Footer"/>
    <w:uiPriority w:val="99"/>
    <w:rsid w:val="00B07B66"/>
  </w:style>
  <w:style w:type="character" w:customStyle="1" w:styleId="Heading1Char">
    <w:name w:val="Heading 1 Char"/>
    <w:basedOn w:val="DefaultParagraphFont"/>
    <w:link w:val="Heading1"/>
    <w:uiPriority w:val="9"/>
    <w:rsid w:val="00653DD9"/>
    <w:rPr>
      <w:b/>
      <w:bCs/>
      <w:smallCaps/>
    </w:rPr>
  </w:style>
  <w:style w:type="character" w:customStyle="1" w:styleId="Heading2Char">
    <w:name w:val="Heading 2 Char"/>
    <w:basedOn w:val="DefaultParagraphFont"/>
    <w:link w:val="Heading2"/>
    <w:uiPriority w:val="9"/>
    <w:rsid w:val="00653DD9"/>
    <w:rPr>
      <w:b/>
      <w:bCs/>
    </w:rPr>
  </w:style>
  <w:style w:type="paragraph" w:styleId="TOC1">
    <w:name w:val="toc 1"/>
    <w:basedOn w:val="Normal"/>
    <w:next w:val="Normal"/>
    <w:autoRedefine/>
    <w:uiPriority w:val="39"/>
    <w:unhideWhenUsed/>
    <w:rsid w:val="001E7C09"/>
    <w:pPr>
      <w:tabs>
        <w:tab w:val="right" w:leader="dot" w:pos="9062"/>
      </w:tabs>
      <w:spacing w:after="100"/>
    </w:pPr>
    <w:rPr>
      <w:b/>
      <w:bCs/>
      <w:noProof/>
    </w:rPr>
  </w:style>
  <w:style w:type="paragraph" w:styleId="TOC2">
    <w:name w:val="toc 2"/>
    <w:basedOn w:val="Normal"/>
    <w:next w:val="Normal"/>
    <w:autoRedefine/>
    <w:uiPriority w:val="39"/>
    <w:unhideWhenUsed/>
    <w:rsid w:val="00653DD9"/>
    <w:pPr>
      <w:spacing w:after="100"/>
      <w:ind w:left="240"/>
    </w:pPr>
  </w:style>
  <w:style w:type="character" w:styleId="UnresolvedMention">
    <w:name w:val="Unresolved Mention"/>
    <w:basedOn w:val="DefaultParagraphFont"/>
    <w:uiPriority w:val="99"/>
    <w:semiHidden/>
    <w:unhideWhenUsed/>
    <w:rsid w:val="00A42716"/>
    <w:rPr>
      <w:color w:val="605E5C"/>
      <w:shd w:val="clear" w:color="auto" w:fill="E1DFDD"/>
    </w:rPr>
  </w:style>
  <w:style w:type="character" w:styleId="FollowedHyperlink">
    <w:name w:val="FollowedHyperlink"/>
    <w:basedOn w:val="DefaultParagraphFont"/>
    <w:uiPriority w:val="99"/>
    <w:semiHidden/>
    <w:unhideWhenUsed/>
    <w:rsid w:val="00A42716"/>
    <w:rPr>
      <w:color w:val="954F72" w:themeColor="followedHyperlink"/>
      <w:u w:val="single"/>
    </w:rPr>
  </w:style>
  <w:style w:type="paragraph" w:styleId="ListParagraph">
    <w:name w:val="List Paragraph"/>
    <w:basedOn w:val="Normal"/>
    <w:uiPriority w:val="34"/>
    <w:qFormat/>
    <w:rsid w:val="006E489F"/>
    <w:pPr>
      <w:ind w:left="720"/>
      <w:contextualSpacing/>
    </w:pPr>
  </w:style>
  <w:style w:type="character" w:styleId="CommentReference">
    <w:name w:val="annotation reference"/>
    <w:basedOn w:val="DefaultParagraphFont"/>
    <w:uiPriority w:val="99"/>
    <w:semiHidden/>
    <w:unhideWhenUsed/>
    <w:rsid w:val="0037142B"/>
    <w:rPr>
      <w:sz w:val="16"/>
      <w:szCs w:val="16"/>
    </w:rPr>
  </w:style>
  <w:style w:type="paragraph" w:styleId="CommentText">
    <w:name w:val="annotation text"/>
    <w:basedOn w:val="Normal"/>
    <w:link w:val="CommentTextChar"/>
    <w:uiPriority w:val="99"/>
    <w:semiHidden/>
    <w:unhideWhenUsed/>
    <w:rsid w:val="0037142B"/>
    <w:rPr>
      <w:sz w:val="20"/>
      <w:szCs w:val="20"/>
    </w:rPr>
  </w:style>
  <w:style w:type="character" w:customStyle="1" w:styleId="CommentTextChar">
    <w:name w:val="Comment Text Char"/>
    <w:basedOn w:val="DefaultParagraphFont"/>
    <w:link w:val="CommentText"/>
    <w:uiPriority w:val="99"/>
    <w:semiHidden/>
    <w:rsid w:val="0037142B"/>
    <w:rPr>
      <w:sz w:val="20"/>
      <w:szCs w:val="20"/>
    </w:rPr>
  </w:style>
  <w:style w:type="paragraph" w:styleId="CommentSubject">
    <w:name w:val="annotation subject"/>
    <w:basedOn w:val="CommentText"/>
    <w:next w:val="CommentText"/>
    <w:link w:val="CommentSubjectChar"/>
    <w:uiPriority w:val="99"/>
    <w:semiHidden/>
    <w:unhideWhenUsed/>
    <w:rsid w:val="0037142B"/>
    <w:rPr>
      <w:b/>
      <w:bCs/>
    </w:rPr>
  </w:style>
  <w:style w:type="character" w:customStyle="1" w:styleId="CommentSubjectChar">
    <w:name w:val="Comment Subject Char"/>
    <w:basedOn w:val="CommentTextChar"/>
    <w:link w:val="CommentSubject"/>
    <w:uiPriority w:val="99"/>
    <w:semiHidden/>
    <w:rsid w:val="0037142B"/>
    <w:rPr>
      <w:b/>
      <w:bCs/>
      <w:sz w:val="20"/>
      <w:szCs w:val="20"/>
    </w:rPr>
  </w:style>
  <w:style w:type="character" w:styleId="PageNumber">
    <w:name w:val="page number"/>
    <w:basedOn w:val="DefaultParagraphFont"/>
    <w:uiPriority w:val="99"/>
    <w:semiHidden/>
    <w:unhideWhenUsed/>
    <w:rsid w:val="0026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18984">
      <w:bodyDiv w:val="1"/>
      <w:marLeft w:val="0"/>
      <w:marRight w:val="0"/>
      <w:marTop w:val="0"/>
      <w:marBottom w:val="0"/>
      <w:divBdr>
        <w:top w:val="none" w:sz="0" w:space="0" w:color="auto"/>
        <w:left w:val="none" w:sz="0" w:space="0" w:color="auto"/>
        <w:bottom w:val="none" w:sz="0" w:space="0" w:color="auto"/>
        <w:right w:val="none" w:sz="0" w:space="0" w:color="auto"/>
      </w:divBdr>
    </w:div>
    <w:div w:id="975381216">
      <w:bodyDiv w:val="1"/>
      <w:marLeft w:val="0"/>
      <w:marRight w:val="0"/>
      <w:marTop w:val="0"/>
      <w:marBottom w:val="0"/>
      <w:divBdr>
        <w:top w:val="none" w:sz="0" w:space="0" w:color="auto"/>
        <w:left w:val="none" w:sz="0" w:space="0" w:color="auto"/>
        <w:bottom w:val="none" w:sz="0" w:space="0" w:color="auto"/>
        <w:right w:val="none" w:sz="0" w:space="0" w:color="auto"/>
      </w:divBdr>
    </w:div>
    <w:div w:id="1471362265">
      <w:bodyDiv w:val="1"/>
      <w:marLeft w:val="0"/>
      <w:marRight w:val="0"/>
      <w:marTop w:val="0"/>
      <w:marBottom w:val="0"/>
      <w:divBdr>
        <w:top w:val="none" w:sz="0" w:space="0" w:color="auto"/>
        <w:left w:val="none" w:sz="0" w:space="0" w:color="auto"/>
        <w:bottom w:val="none" w:sz="0" w:space="0" w:color="auto"/>
        <w:right w:val="none" w:sz="0" w:space="0" w:color="auto"/>
      </w:divBdr>
    </w:div>
    <w:div w:id="1723018659">
      <w:bodyDiv w:val="1"/>
      <w:marLeft w:val="0"/>
      <w:marRight w:val="0"/>
      <w:marTop w:val="0"/>
      <w:marBottom w:val="0"/>
      <w:divBdr>
        <w:top w:val="none" w:sz="0" w:space="0" w:color="auto"/>
        <w:left w:val="none" w:sz="0" w:space="0" w:color="auto"/>
        <w:bottom w:val="none" w:sz="0" w:space="0" w:color="auto"/>
        <w:right w:val="none" w:sz="0" w:space="0" w:color="auto"/>
      </w:divBdr>
      <w:divsChild>
        <w:div w:id="1205096630">
          <w:marLeft w:val="0"/>
          <w:marRight w:val="0"/>
          <w:marTop w:val="0"/>
          <w:marBottom w:val="0"/>
          <w:divBdr>
            <w:top w:val="none" w:sz="0" w:space="0" w:color="auto"/>
            <w:left w:val="none" w:sz="0" w:space="0" w:color="auto"/>
            <w:bottom w:val="none" w:sz="0" w:space="0" w:color="auto"/>
            <w:right w:val="none" w:sz="0" w:space="0" w:color="auto"/>
          </w:divBdr>
          <w:divsChild>
            <w:div w:id="1827814416">
              <w:marLeft w:val="0"/>
              <w:marRight w:val="0"/>
              <w:marTop w:val="0"/>
              <w:marBottom w:val="0"/>
              <w:divBdr>
                <w:top w:val="none" w:sz="0" w:space="0" w:color="auto"/>
                <w:left w:val="none" w:sz="0" w:space="0" w:color="auto"/>
                <w:bottom w:val="none" w:sz="0" w:space="0" w:color="auto"/>
                <w:right w:val="none" w:sz="0" w:space="0" w:color="auto"/>
              </w:divBdr>
              <w:divsChild>
                <w:div w:id="19617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nayasa.gen.tr/anayasasizlastirma-v4.pdf" TargetMode="External"/><Relationship Id="rId2" Type="http://schemas.openxmlformats.org/officeDocument/2006/relationships/hyperlink" Target="https://www.democratic-decay.org/democratic-decay-as-the-organising-concept" TargetMode="External"/><Relationship Id="rId1" Type="http://schemas.openxmlformats.org/officeDocument/2006/relationships/hyperlink" Target="http://setav.org/anayasa-krizi-nasil-asilacak/" TargetMode="External"/><Relationship Id="rId5" Type="http://schemas.openxmlformats.org/officeDocument/2006/relationships/hyperlink" Target="https://www.tolgasirin.com/post/demirtas" TargetMode="External"/><Relationship Id="rId4" Type="http://schemas.openxmlformats.org/officeDocument/2006/relationships/hyperlink" Target="https://www.tolgasirin.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7915</Words>
  <Characters>45117</Characters>
  <Application>Microsoft Office Word</Application>
  <DocSecurity>0</DocSecurity>
  <Lines>375</Lines>
  <Paragraphs>105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bilkent</cp:lastModifiedBy>
  <cp:revision>2</cp:revision>
  <dcterms:created xsi:type="dcterms:W3CDTF">2021-10-11T10:58:00Z</dcterms:created>
  <dcterms:modified xsi:type="dcterms:W3CDTF">2021-10-11T10:58:00Z</dcterms:modified>
</cp:coreProperties>
</file>