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1D417" w14:textId="2993A426" w:rsidR="00AF6E6E" w:rsidRDefault="00F21108" w:rsidP="005D0D65">
      <w:pPr>
        <w:jc w:val="center"/>
        <w:rPr>
          <w:rFonts w:ascii="Times New Roman" w:hAnsi="Times New Roman"/>
          <w:b/>
          <w:bCs/>
          <w:lang w:eastAsia="tr-TR"/>
        </w:rPr>
      </w:pPr>
      <w:bookmarkStart w:id="0" w:name="_GoBack"/>
      <w:bookmarkEnd w:id="0"/>
      <w:r w:rsidRPr="00F21108">
        <w:rPr>
          <w:rFonts w:ascii="Times New Roman" w:hAnsi="Times New Roman"/>
          <w:b/>
          <w:bCs/>
          <w:lang w:eastAsia="tr-TR"/>
        </w:rPr>
        <w:t>HUKUKUN ARAÇSALLAŞTIRILMASININ GÜNCEL BİR ÖRNEĞİ</w:t>
      </w:r>
      <w:r w:rsidR="00AF6E6E">
        <w:rPr>
          <w:rFonts w:ascii="Times New Roman" w:hAnsi="Times New Roman"/>
          <w:b/>
          <w:bCs/>
          <w:lang w:eastAsia="tr-TR"/>
        </w:rPr>
        <w:t>:</w:t>
      </w:r>
    </w:p>
    <w:p w14:paraId="644CCC34" w14:textId="696A6D85" w:rsidR="00F21108" w:rsidRPr="00F21108" w:rsidRDefault="00F21108" w:rsidP="005D0D65">
      <w:pPr>
        <w:jc w:val="center"/>
        <w:rPr>
          <w:rFonts w:ascii="Times New Roman" w:hAnsi="Times New Roman"/>
          <w:b/>
          <w:bCs/>
          <w:lang w:eastAsia="tr-TR"/>
        </w:rPr>
      </w:pPr>
      <w:r w:rsidRPr="00F21108">
        <w:rPr>
          <w:rFonts w:ascii="Times New Roman" w:hAnsi="Times New Roman"/>
          <w:b/>
          <w:bCs/>
          <w:lang w:eastAsia="tr-TR"/>
        </w:rPr>
        <w:t xml:space="preserve">COVID-19 PANDEMİSİ </w:t>
      </w:r>
      <w:r w:rsidR="00D64D9A">
        <w:rPr>
          <w:rFonts w:ascii="Times New Roman" w:hAnsi="Times New Roman"/>
          <w:b/>
          <w:bCs/>
          <w:lang w:eastAsia="tr-TR"/>
        </w:rPr>
        <w:t xml:space="preserve">ÇERÇEVESİNDE </w:t>
      </w:r>
      <w:r w:rsidRPr="00F21108">
        <w:rPr>
          <w:rFonts w:ascii="Times New Roman" w:hAnsi="Times New Roman"/>
          <w:b/>
          <w:bCs/>
          <w:lang w:eastAsia="tr-TR"/>
        </w:rPr>
        <w:t>ALINAN ÖNLEMLER</w:t>
      </w:r>
      <w:r w:rsidR="00AF6E6E">
        <w:rPr>
          <w:rFonts w:ascii="Times New Roman" w:hAnsi="Times New Roman"/>
          <w:b/>
          <w:bCs/>
          <w:lang w:eastAsia="tr-TR"/>
        </w:rPr>
        <w:t xml:space="preserve"> VE </w:t>
      </w:r>
      <w:r w:rsidR="00D64D9A">
        <w:rPr>
          <w:rFonts w:ascii="Times New Roman" w:hAnsi="Times New Roman"/>
          <w:b/>
          <w:bCs/>
          <w:lang w:eastAsia="tr-TR"/>
        </w:rPr>
        <w:t>SİYASAL SİSTEMLERDE YAŞANAN OTORİTERLEŞMEYE ETKİSİ</w:t>
      </w:r>
    </w:p>
    <w:p w14:paraId="1BEC5FE2" w14:textId="56270EE2" w:rsidR="00F21108" w:rsidRDefault="00F21108" w:rsidP="00503EB4">
      <w:pPr>
        <w:jc w:val="both"/>
        <w:rPr>
          <w:rFonts w:ascii="Times New Roman" w:hAnsi="Times New Roman"/>
          <w:lang w:eastAsia="tr-TR"/>
        </w:rPr>
      </w:pPr>
    </w:p>
    <w:p w14:paraId="3B56F354" w14:textId="010BE490" w:rsidR="00F21108" w:rsidRDefault="00F21108" w:rsidP="005D0D65">
      <w:pPr>
        <w:jc w:val="right"/>
        <w:rPr>
          <w:rFonts w:ascii="Times New Roman" w:hAnsi="Times New Roman"/>
          <w:lang w:eastAsia="tr-TR"/>
        </w:rPr>
        <w:sectPr w:rsidR="00F21108" w:rsidSect="00F21108">
          <w:footerReference w:type="default" r:id="rId8"/>
          <w:footnotePr>
            <w:numFmt w:val="chicago"/>
          </w:footnotePr>
          <w:type w:val="continuous"/>
          <w:pgSz w:w="11906" w:h="16838"/>
          <w:pgMar w:top="1417" w:right="1417" w:bottom="1417" w:left="1417" w:header="708" w:footer="708" w:gutter="0"/>
          <w:cols w:space="708"/>
          <w:docGrid w:linePitch="360"/>
        </w:sectPr>
      </w:pPr>
      <w:r>
        <w:rPr>
          <w:rFonts w:ascii="Times New Roman" w:hAnsi="Times New Roman"/>
          <w:lang w:eastAsia="tr-TR"/>
        </w:rPr>
        <w:t>Deniz POLAT AKGÜN</w:t>
      </w:r>
      <w:r w:rsidR="005D0D65">
        <w:rPr>
          <w:rStyle w:val="FootnoteReference"/>
          <w:rFonts w:ascii="Times New Roman" w:hAnsi="Times New Roman"/>
          <w:lang w:eastAsia="tr-TR"/>
        </w:rPr>
        <w:footnoteReference w:customMarkFollows="1" w:id="1"/>
        <w:t>*</w:t>
      </w:r>
    </w:p>
    <w:p w14:paraId="3372CD44" w14:textId="6E973EF3" w:rsidR="00F21108" w:rsidRDefault="00F21108" w:rsidP="00503EB4">
      <w:pPr>
        <w:jc w:val="both"/>
        <w:rPr>
          <w:rFonts w:ascii="Times New Roman" w:hAnsi="Times New Roman"/>
          <w:lang w:eastAsia="tr-TR"/>
        </w:rPr>
      </w:pPr>
    </w:p>
    <w:p w14:paraId="4261BA40" w14:textId="7A03E67A" w:rsidR="00B35602" w:rsidRPr="00B35602" w:rsidRDefault="00B35602" w:rsidP="00503EB4">
      <w:pPr>
        <w:jc w:val="both"/>
        <w:rPr>
          <w:rFonts w:ascii="Times New Roman" w:hAnsi="Times New Roman"/>
          <w:b/>
          <w:bCs/>
          <w:lang w:eastAsia="tr-TR"/>
        </w:rPr>
      </w:pPr>
      <w:r>
        <w:rPr>
          <w:rFonts w:ascii="Times New Roman" w:hAnsi="Times New Roman"/>
          <w:lang w:eastAsia="tr-TR"/>
        </w:rPr>
        <w:tab/>
      </w:r>
      <w:r w:rsidR="00675717" w:rsidRPr="005D0D65">
        <w:rPr>
          <w:rFonts w:ascii="Times New Roman" w:hAnsi="Times New Roman"/>
          <w:b/>
          <w:bCs/>
          <w:lang w:eastAsia="tr-TR"/>
        </w:rPr>
        <w:t>I.</w:t>
      </w:r>
      <w:r w:rsidR="00675717">
        <w:rPr>
          <w:rFonts w:ascii="Times New Roman" w:hAnsi="Times New Roman"/>
          <w:lang w:eastAsia="tr-TR"/>
        </w:rPr>
        <w:t xml:space="preserve"> </w:t>
      </w:r>
      <w:r w:rsidRPr="00B35602">
        <w:rPr>
          <w:rFonts w:ascii="Times New Roman" w:hAnsi="Times New Roman"/>
          <w:b/>
          <w:bCs/>
          <w:lang w:eastAsia="tr-TR"/>
        </w:rPr>
        <w:t>GİRİŞ</w:t>
      </w:r>
    </w:p>
    <w:p w14:paraId="0485EAE4" w14:textId="7D1FEE55" w:rsidR="00B35602" w:rsidRDefault="00B35602" w:rsidP="00503EB4">
      <w:pPr>
        <w:jc w:val="both"/>
        <w:rPr>
          <w:rFonts w:ascii="Times New Roman" w:hAnsi="Times New Roman"/>
          <w:lang w:eastAsia="tr-TR"/>
        </w:rPr>
      </w:pPr>
      <w:r>
        <w:rPr>
          <w:rFonts w:ascii="Times New Roman" w:hAnsi="Times New Roman"/>
          <w:lang w:eastAsia="tr-TR"/>
        </w:rPr>
        <w:tab/>
        <w:t>Ç</w:t>
      </w:r>
      <w:r w:rsidRPr="00C64BE0">
        <w:rPr>
          <w:rFonts w:ascii="Times New Roman" w:hAnsi="Times New Roman"/>
          <w:lang w:eastAsia="tr-TR"/>
        </w:rPr>
        <w:t>oğulcu demokratik sistemlerin vazgeçilmez öğesi</w:t>
      </w:r>
      <w:r>
        <w:rPr>
          <w:rFonts w:ascii="Times New Roman" w:hAnsi="Times New Roman"/>
          <w:lang w:eastAsia="tr-TR"/>
        </w:rPr>
        <w:t xml:space="preserve"> olan temel h</w:t>
      </w:r>
      <w:r w:rsidRPr="00C64BE0">
        <w:rPr>
          <w:rFonts w:ascii="Times New Roman" w:hAnsi="Times New Roman"/>
          <w:lang w:eastAsia="tr-TR"/>
        </w:rPr>
        <w:t>ak ve özgürlüklere ilişkin</w:t>
      </w:r>
      <w:r>
        <w:rPr>
          <w:rFonts w:ascii="Times New Roman" w:hAnsi="Times New Roman"/>
          <w:lang w:eastAsia="tr-TR"/>
        </w:rPr>
        <w:t xml:space="preserve"> </w:t>
      </w:r>
      <w:r w:rsidRPr="00C64BE0">
        <w:rPr>
          <w:rFonts w:ascii="Times New Roman" w:hAnsi="Times New Roman"/>
          <w:lang w:eastAsia="tr-TR"/>
        </w:rPr>
        <w:t>ihlaller</w:t>
      </w:r>
      <w:r>
        <w:rPr>
          <w:rFonts w:ascii="Times New Roman" w:hAnsi="Times New Roman"/>
          <w:lang w:eastAsia="tr-TR"/>
        </w:rPr>
        <w:t xml:space="preserve"> devletler tarafından gerçekleştirildiğinde ihlallerin boyutu ve sonucu daha da büyüyebilmektedir. Söz konusu ihlallerin önlenmesi ve giderilmesi için en önemli araçlardan biri kuşkusuz hukuk devletidir. </w:t>
      </w:r>
      <w:r w:rsidR="00B068B4">
        <w:rPr>
          <w:rFonts w:ascii="Times New Roman" w:hAnsi="Times New Roman"/>
          <w:lang w:eastAsia="tr-TR"/>
        </w:rPr>
        <w:t>Anayasacılı</w:t>
      </w:r>
      <w:r>
        <w:rPr>
          <w:rFonts w:ascii="Times New Roman" w:hAnsi="Times New Roman"/>
          <w:lang w:eastAsia="tr-TR"/>
        </w:rPr>
        <w:t xml:space="preserve">k düşüncesinin </w:t>
      </w:r>
      <w:r w:rsidR="00B068B4">
        <w:rPr>
          <w:rFonts w:ascii="Times New Roman" w:hAnsi="Times New Roman"/>
          <w:lang w:eastAsia="tr-TR"/>
        </w:rPr>
        <w:t>kurucu öğeleri arasında yer alan h</w:t>
      </w:r>
      <w:r w:rsidR="0044614C" w:rsidRPr="00430533">
        <w:rPr>
          <w:rFonts w:ascii="Times New Roman" w:hAnsi="Times New Roman"/>
          <w:lang w:eastAsia="tr-TR"/>
        </w:rPr>
        <w:t>ukuk devleti</w:t>
      </w:r>
      <w:r w:rsidR="00B068B4">
        <w:rPr>
          <w:rFonts w:ascii="Times New Roman" w:hAnsi="Times New Roman"/>
          <w:lang w:eastAsia="tr-TR"/>
        </w:rPr>
        <w:t xml:space="preserve"> ilkesi esas itibariyle </w:t>
      </w:r>
      <w:r w:rsidR="00C82105">
        <w:rPr>
          <w:rFonts w:ascii="Times New Roman" w:hAnsi="Times New Roman"/>
          <w:lang w:eastAsia="tr-TR"/>
        </w:rPr>
        <w:t xml:space="preserve">yöneticilerin ve yönetilenlerin </w:t>
      </w:r>
      <w:r w:rsidR="00B068B4" w:rsidRPr="0044614C">
        <w:rPr>
          <w:rFonts w:ascii="Times New Roman" w:hAnsi="Times New Roman"/>
          <w:lang w:eastAsia="tr-TR"/>
        </w:rPr>
        <w:t>bütün eylem, işlem ve tasarruflarının hukuk kurallarıyla bağlı olmasını</w:t>
      </w:r>
      <w:r w:rsidR="00983DA8">
        <w:rPr>
          <w:rFonts w:ascii="Times New Roman" w:hAnsi="Times New Roman"/>
          <w:lang w:eastAsia="tr-TR"/>
        </w:rPr>
        <w:t xml:space="preserve">, </w:t>
      </w:r>
      <w:r w:rsidR="00A628FC">
        <w:rPr>
          <w:rFonts w:ascii="Times New Roman" w:hAnsi="Times New Roman"/>
          <w:lang w:eastAsia="tr-TR"/>
        </w:rPr>
        <w:t>hukuki güvenliğin</w:t>
      </w:r>
      <w:r w:rsidR="00C82105">
        <w:rPr>
          <w:rFonts w:ascii="Times New Roman" w:hAnsi="Times New Roman"/>
          <w:lang w:eastAsia="tr-TR"/>
        </w:rPr>
        <w:t xml:space="preserve"> </w:t>
      </w:r>
      <w:r w:rsidR="00983DA8">
        <w:rPr>
          <w:rFonts w:ascii="Times New Roman" w:hAnsi="Times New Roman"/>
          <w:lang w:eastAsia="tr-TR"/>
        </w:rPr>
        <w:t xml:space="preserve">ve öngörülebilirliğin </w:t>
      </w:r>
      <w:r w:rsidR="00A628FC">
        <w:rPr>
          <w:rFonts w:ascii="Times New Roman" w:hAnsi="Times New Roman"/>
          <w:lang w:eastAsia="tr-TR"/>
        </w:rPr>
        <w:t xml:space="preserve">sağlanmasını </w:t>
      </w:r>
      <w:r w:rsidR="00B068B4">
        <w:rPr>
          <w:rFonts w:ascii="Times New Roman" w:hAnsi="Times New Roman"/>
          <w:lang w:eastAsia="tr-TR"/>
        </w:rPr>
        <w:t xml:space="preserve">gerektirir. </w:t>
      </w:r>
      <w:r w:rsidR="00A628FC">
        <w:rPr>
          <w:rFonts w:ascii="Times New Roman" w:hAnsi="Times New Roman"/>
          <w:lang w:eastAsia="tr-TR"/>
        </w:rPr>
        <w:t>Bu çerçevede, k</w:t>
      </w:r>
      <w:r w:rsidR="00B068B4" w:rsidRPr="00430533">
        <w:rPr>
          <w:rFonts w:ascii="Times New Roman" w:hAnsi="Times New Roman"/>
          <w:lang w:eastAsia="tr-TR"/>
        </w:rPr>
        <w:t>eyfi yönetim tehlikesini en aza indirme</w:t>
      </w:r>
      <w:r w:rsidR="00A628FC">
        <w:rPr>
          <w:rFonts w:ascii="Times New Roman" w:hAnsi="Times New Roman"/>
          <w:lang w:eastAsia="tr-TR"/>
        </w:rPr>
        <w:t>yi amaçla</w:t>
      </w:r>
      <w:r w:rsidR="00C64BE0">
        <w:rPr>
          <w:rFonts w:ascii="Times New Roman" w:hAnsi="Times New Roman"/>
          <w:lang w:eastAsia="tr-TR"/>
        </w:rPr>
        <w:t xml:space="preserve">r, </w:t>
      </w:r>
      <w:r w:rsidR="00C64BE0" w:rsidRPr="00C64BE0">
        <w:rPr>
          <w:rFonts w:ascii="Times New Roman" w:hAnsi="Times New Roman"/>
          <w:lang w:eastAsia="tr-TR"/>
        </w:rPr>
        <w:t>devlet yöneticilerini sınırlar ve devlet</w:t>
      </w:r>
      <w:r w:rsidR="00A443F4">
        <w:rPr>
          <w:rFonts w:ascii="Times New Roman" w:hAnsi="Times New Roman"/>
          <w:lang w:eastAsia="tr-TR"/>
        </w:rPr>
        <w:t xml:space="preserve"> </w:t>
      </w:r>
      <w:r w:rsidR="00C64BE0" w:rsidRPr="00C64BE0">
        <w:rPr>
          <w:rFonts w:ascii="Times New Roman" w:hAnsi="Times New Roman"/>
          <w:lang w:eastAsia="tr-TR"/>
        </w:rPr>
        <w:t>yönetimine yön verir.</w:t>
      </w:r>
      <w:r w:rsidR="00C64BE0">
        <w:rPr>
          <w:rFonts w:ascii="Times New Roman" w:hAnsi="Times New Roman"/>
          <w:lang w:eastAsia="tr-TR"/>
        </w:rPr>
        <w:t xml:space="preserve"> </w:t>
      </w:r>
      <w:r w:rsidR="00A628FC">
        <w:rPr>
          <w:rFonts w:ascii="Times New Roman" w:hAnsi="Times New Roman"/>
          <w:lang w:eastAsia="tr-TR"/>
        </w:rPr>
        <w:t xml:space="preserve">Hukuk devleti ile </w:t>
      </w:r>
      <w:r w:rsidR="00B068B4">
        <w:rPr>
          <w:rFonts w:ascii="Times New Roman" w:hAnsi="Times New Roman"/>
          <w:lang w:eastAsia="tr-TR"/>
        </w:rPr>
        <w:t xml:space="preserve">siyasal iktidarın kurumsallaşması arasında sıkı bir ilişki vardır. </w:t>
      </w:r>
      <w:r w:rsidR="00FA14B4">
        <w:rPr>
          <w:rFonts w:ascii="Times New Roman" w:hAnsi="Times New Roman"/>
          <w:lang w:eastAsia="tr-TR"/>
        </w:rPr>
        <w:t>Öyle ki,</w:t>
      </w:r>
      <w:r w:rsidR="00A628FC">
        <w:rPr>
          <w:rFonts w:ascii="Times New Roman" w:hAnsi="Times New Roman"/>
          <w:lang w:eastAsia="tr-TR"/>
        </w:rPr>
        <w:t xml:space="preserve"> devlet adına birtakım yetkileri kullanan siyasal iktidarın bu</w:t>
      </w:r>
      <w:r w:rsidR="00B068B4">
        <w:rPr>
          <w:rFonts w:ascii="Times New Roman" w:hAnsi="Times New Roman"/>
          <w:lang w:eastAsia="tr-TR"/>
        </w:rPr>
        <w:t xml:space="preserve"> yetkileri</w:t>
      </w:r>
      <w:r w:rsidR="00A628FC">
        <w:rPr>
          <w:rFonts w:ascii="Times New Roman" w:hAnsi="Times New Roman"/>
          <w:lang w:eastAsia="tr-TR"/>
        </w:rPr>
        <w:t xml:space="preserve"> hukuk kurallarından kaynaklanır ve kendisi de bu kurallarla bağlıdır. Dolayısıyla,</w:t>
      </w:r>
      <w:r w:rsidR="00C64BE0">
        <w:rPr>
          <w:rFonts w:ascii="Times New Roman" w:hAnsi="Times New Roman"/>
          <w:lang w:eastAsia="tr-TR"/>
        </w:rPr>
        <w:t xml:space="preserve"> hukuk devleti ilkesine göre, </w:t>
      </w:r>
      <w:r w:rsidR="00A628FC">
        <w:rPr>
          <w:rFonts w:ascii="Times New Roman" w:hAnsi="Times New Roman"/>
          <w:lang w:eastAsia="tr-TR"/>
        </w:rPr>
        <w:t>siyasal iktidar hukuk düzeni üzerinde değil; hukuk, siyasal iktidar üzerinde egemendir</w:t>
      </w:r>
      <w:r w:rsidR="00C64BE0">
        <w:rPr>
          <w:rFonts w:ascii="Times New Roman" w:hAnsi="Times New Roman"/>
          <w:lang w:eastAsia="tr-TR"/>
        </w:rPr>
        <w:t xml:space="preserve">. </w:t>
      </w:r>
      <w:r w:rsidR="00C64BE0" w:rsidRPr="00C64BE0">
        <w:rPr>
          <w:rFonts w:ascii="Times New Roman" w:hAnsi="Times New Roman"/>
          <w:lang w:eastAsia="tr-TR"/>
        </w:rPr>
        <w:t>Hukukun üstünlüğüne</w:t>
      </w:r>
      <w:r w:rsidR="00C64BE0">
        <w:rPr>
          <w:rFonts w:ascii="Times New Roman" w:hAnsi="Times New Roman"/>
          <w:lang w:eastAsia="tr-TR"/>
        </w:rPr>
        <w:t>, kişilerin hukuki güvenliğine</w:t>
      </w:r>
      <w:r w:rsidR="00BA58C4">
        <w:rPr>
          <w:rFonts w:ascii="Times New Roman" w:hAnsi="Times New Roman"/>
          <w:lang w:eastAsia="tr-TR"/>
        </w:rPr>
        <w:t xml:space="preserve"> ve hukuki </w:t>
      </w:r>
      <w:r w:rsidR="00C64BE0">
        <w:rPr>
          <w:rFonts w:ascii="Times New Roman" w:hAnsi="Times New Roman"/>
          <w:lang w:eastAsia="tr-TR"/>
        </w:rPr>
        <w:t>belirliliğe</w:t>
      </w:r>
      <w:r w:rsidR="00BA58C4">
        <w:rPr>
          <w:rFonts w:ascii="Times New Roman" w:hAnsi="Times New Roman"/>
          <w:lang w:eastAsia="tr-TR"/>
        </w:rPr>
        <w:t xml:space="preserve"> </w:t>
      </w:r>
      <w:r w:rsidR="00C64BE0" w:rsidRPr="00C64BE0">
        <w:rPr>
          <w:rFonts w:ascii="Times New Roman" w:hAnsi="Times New Roman"/>
          <w:lang w:eastAsia="tr-TR"/>
        </w:rPr>
        <w:t>sahip demokratik bir sistemde hukuk, yalnızca yönetilenlerin değil, yöneticilerin de yapabileceklerinin ve yapması gerekenlerin sınırlarını belirler.</w:t>
      </w:r>
      <w:r w:rsidR="00983DA8">
        <w:rPr>
          <w:rFonts w:ascii="Times New Roman" w:hAnsi="Times New Roman"/>
          <w:lang w:eastAsia="tr-TR"/>
        </w:rPr>
        <w:t xml:space="preserve"> </w:t>
      </w:r>
      <w:r w:rsidR="00BA58C4">
        <w:rPr>
          <w:rFonts w:ascii="Times New Roman" w:hAnsi="Times New Roman"/>
          <w:lang w:eastAsia="tr-TR"/>
        </w:rPr>
        <w:t xml:space="preserve">Bu anlamda siyasal iktidarın haritası niteliğindedir. </w:t>
      </w:r>
      <w:r w:rsidR="00983DA8">
        <w:rPr>
          <w:rFonts w:ascii="Times New Roman" w:hAnsi="Times New Roman"/>
          <w:lang w:eastAsia="tr-TR"/>
        </w:rPr>
        <w:t>B</w:t>
      </w:r>
      <w:r w:rsidR="003B1099">
        <w:rPr>
          <w:rFonts w:ascii="Times New Roman" w:hAnsi="Times New Roman"/>
          <w:lang w:eastAsia="tr-TR"/>
        </w:rPr>
        <w:t>unun gerçekleştirilebilmesi, ilkenin işlevselliği ve uygulanabilirliği için</w:t>
      </w:r>
      <w:r w:rsidR="00983DA8">
        <w:rPr>
          <w:rFonts w:ascii="Times New Roman" w:hAnsi="Times New Roman"/>
          <w:lang w:eastAsia="tr-TR"/>
        </w:rPr>
        <w:t xml:space="preserve">se </w:t>
      </w:r>
      <w:r w:rsidR="003B1099">
        <w:rPr>
          <w:rFonts w:ascii="Times New Roman" w:hAnsi="Times New Roman"/>
          <w:lang w:eastAsia="tr-TR"/>
        </w:rPr>
        <w:t xml:space="preserve">hukuk sisteminin </w:t>
      </w:r>
      <w:r w:rsidR="003B1099" w:rsidRPr="00430533">
        <w:rPr>
          <w:rFonts w:ascii="Times New Roman" w:hAnsi="Times New Roman"/>
          <w:lang w:eastAsia="tr-TR"/>
        </w:rPr>
        <w:t>farklı ilkelerle dengelenmesi</w:t>
      </w:r>
      <w:r w:rsidR="003B1099">
        <w:rPr>
          <w:rFonts w:ascii="Times New Roman" w:hAnsi="Times New Roman"/>
          <w:lang w:eastAsia="tr-TR"/>
        </w:rPr>
        <w:t xml:space="preserve"> ve birtakım ek güvenceler gerekir. </w:t>
      </w:r>
      <w:r w:rsidR="00BA58C4">
        <w:rPr>
          <w:rFonts w:ascii="Times New Roman" w:hAnsi="Times New Roman"/>
          <w:lang w:eastAsia="tr-TR"/>
        </w:rPr>
        <w:t>Başka bir ifadeyle, keyfi yönetim tehlikesinin en aza indirilmesi amacı hukuk devleti niteliğindeki bir hukuk düzeninde bulunması gereken erdemlerden yalnızca biridir ve farklı ilkelerle desteklenmesi gerekir</w:t>
      </w:r>
      <w:r w:rsidR="00BA58C4">
        <w:rPr>
          <w:rStyle w:val="FootnoteReference"/>
          <w:rFonts w:ascii="Times New Roman" w:hAnsi="Times New Roman"/>
          <w:lang w:eastAsia="tr-TR"/>
        </w:rPr>
        <w:footnoteReference w:id="2"/>
      </w:r>
      <w:r w:rsidR="00BA58C4">
        <w:rPr>
          <w:rFonts w:ascii="Times New Roman" w:hAnsi="Times New Roman"/>
          <w:lang w:eastAsia="tr-TR"/>
        </w:rPr>
        <w:t xml:space="preserve">. </w:t>
      </w:r>
      <w:r w:rsidR="00983DA8">
        <w:rPr>
          <w:rFonts w:ascii="Times New Roman" w:hAnsi="Times New Roman"/>
          <w:lang w:eastAsia="tr-TR"/>
        </w:rPr>
        <w:t>Ancak bu sayede</w:t>
      </w:r>
      <w:r w:rsidR="003B1099">
        <w:rPr>
          <w:rFonts w:ascii="Times New Roman" w:hAnsi="Times New Roman"/>
          <w:lang w:eastAsia="tr-TR"/>
        </w:rPr>
        <w:t xml:space="preserve">, </w:t>
      </w:r>
      <w:r w:rsidR="003B1099" w:rsidRPr="00C64BE0">
        <w:rPr>
          <w:rFonts w:ascii="Times New Roman" w:hAnsi="Times New Roman"/>
          <w:lang w:eastAsia="tr-TR"/>
        </w:rPr>
        <w:t xml:space="preserve">temel hak ve özgürlüklerin </w:t>
      </w:r>
      <w:r w:rsidR="00BA58C4">
        <w:rPr>
          <w:rFonts w:ascii="Times New Roman" w:hAnsi="Times New Roman"/>
          <w:lang w:eastAsia="tr-TR"/>
        </w:rPr>
        <w:t xml:space="preserve">her koşulda </w:t>
      </w:r>
      <w:r w:rsidR="003B1099">
        <w:rPr>
          <w:rFonts w:ascii="Times New Roman" w:hAnsi="Times New Roman"/>
          <w:lang w:eastAsia="tr-TR"/>
        </w:rPr>
        <w:t xml:space="preserve">gerçek anlamda </w:t>
      </w:r>
      <w:r w:rsidR="003B1099" w:rsidRPr="00C64BE0">
        <w:rPr>
          <w:rFonts w:ascii="Times New Roman" w:hAnsi="Times New Roman"/>
          <w:lang w:eastAsia="tr-TR"/>
        </w:rPr>
        <w:t>hukuki güvenliği</w:t>
      </w:r>
      <w:r w:rsidR="003B1099">
        <w:rPr>
          <w:rFonts w:ascii="Times New Roman" w:hAnsi="Times New Roman"/>
          <w:lang w:eastAsia="tr-TR"/>
        </w:rPr>
        <w:t xml:space="preserve"> </w:t>
      </w:r>
      <w:r w:rsidR="003B1099" w:rsidRPr="00C64BE0">
        <w:rPr>
          <w:rFonts w:ascii="Times New Roman" w:hAnsi="Times New Roman"/>
          <w:lang w:eastAsia="tr-TR"/>
        </w:rPr>
        <w:t>sağla</w:t>
      </w:r>
      <w:r w:rsidR="003B1099">
        <w:rPr>
          <w:rFonts w:ascii="Times New Roman" w:hAnsi="Times New Roman"/>
          <w:lang w:eastAsia="tr-TR"/>
        </w:rPr>
        <w:t>n</w:t>
      </w:r>
      <w:r w:rsidR="003B1099" w:rsidRPr="00C64BE0">
        <w:rPr>
          <w:rFonts w:ascii="Times New Roman" w:hAnsi="Times New Roman"/>
          <w:lang w:eastAsia="tr-TR"/>
        </w:rPr>
        <w:t>mış olur.</w:t>
      </w:r>
    </w:p>
    <w:p w14:paraId="313E68E1" w14:textId="6DC3499B" w:rsidR="00B35602" w:rsidRDefault="00B35602" w:rsidP="00503EB4">
      <w:pPr>
        <w:jc w:val="both"/>
        <w:rPr>
          <w:rFonts w:ascii="Times New Roman" w:hAnsi="Times New Roman"/>
          <w:lang w:eastAsia="tr-TR"/>
        </w:rPr>
      </w:pPr>
      <w:r>
        <w:rPr>
          <w:rFonts w:ascii="Times New Roman" w:hAnsi="Times New Roman"/>
          <w:lang w:eastAsia="tr-TR"/>
        </w:rPr>
        <w:tab/>
        <w:t>Temel hak ve özgürlüklere yönelik ihlallerin önlenmesi ve giderilmesi için en önemli araçlardan birinin hukuk devleti ilkesi olduğu savı, ö</w:t>
      </w:r>
      <w:r w:rsidR="003B1099">
        <w:rPr>
          <w:rFonts w:ascii="Times New Roman" w:hAnsi="Times New Roman"/>
          <w:lang w:eastAsia="tr-TR"/>
        </w:rPr>
        <w:t>zellikle belirsizliğin h</w:t>
      </w:r>
      <w:r>
        <w:rPr>
          <w:rFonts w:ascii="Times New Roman" w:hAnsi="Times New Roman"/>
          <w:lang w:eastAsia="tr-TR"/>
        </w:rPr>
        <w:t>â</w:t>
      </w:r>
      <w:r w:rsidR="003B1099">
        <w:rPr>
          <w:rFonts w:ascii="Times New Roman" w:hAnsi="Times New Roman"/>
          <w:lang w:eastAsia="tr-TR"/>
        </w:rPr>
        <w:t xml:space="preserve">kim olduğu </w:t>
      </w:r>
      <w:r w:rsidR="00C64BE0" w:rsidRPr="00C64BE0">
        <w:rPr>
          <w:rFonts w:ascii="Times New Roman" w:hAnsi="Times New Roman"/>
          <w:lang w:eastAsia="tr-TR"/>
        </w:rPr>
        <w:t xml:space="preserve">kriz </w:t>
      </w:r>
      <w:r w:rsidR="003B1099">
        <w:rPr>
          <w:rFonts w:ascii="Times New Roman" w:hAnsi="Times New Roman"/>
          <w:lang w:eastAsia="tr-TR"/>
        </w:rPr>
        <w:t xml:space="preserve">dönemlerinde daha da önem kazanır. Hatta, bu gibi </w:t>
      </w:r>
      <w:r w:rsidR="003B1099" w:rsidRPr="003B1099">
        <w:rPr>
          <w:rFonts w:ascii="Times New Roman" w:hAnsi="Times New Roman"/>
          <w:lang w:eastAsia="tr-TR"/>
        </w:rPr>
        <w:t>kriz</w:t>
      </w:r>
      <w:r w:rsidR="00983DA8">
        <w:rPr>
          <w:rFonts w:ascii="Times New Roman" w:hAnsi="Times New Roman"/>
          <w:lang w:eastAsia="tr-TR"/>
        </w:rPr>
        <w:t xml:space="preserve"> dönemlerinin</w:t>
      </w:r>
      <w:r w:rsidR="003B1099">
        <w:rPr>
          <w:rFonts w:ascii="Times New Roman" w:hAnsi="Times New Roman"/>
          <w:lang w:eastAsia="tr-TR"/>
        </w:rPr>
        <w:t xml:space="preserve"> </w:t>
      </w:r>
      <w:r w:rsidR="003B1099" w:rsidRPr="003B1099">
        <w:rPr>
          <w:rFonts w:ascii="Times New Roman" w:hAnsi="Times New Roman"/>
          <w:lang w:eastAsia="tr-TR"/>
        </w:rPr>
        <w:t>anayasal ve siyasal sistem için bir nevi turnusol k</w:t>
      </w:r>
      <w:r>
        <w:rPr>
          <w:rFonts w:ascii="Times New Roman" w:hAnsi="Times New Roman"/>
          <w:lang w:eastAsia="tr-TR"/>
        </w:rPr>
        <w:t>â</w:t>
      </w:r>
      <w:r w:rsidR="003B1099" w:rsidRPr="003B1099">
        <w:rPr>
          <w:rFonts w:ascii="Times New Roman" w:hAnsi="Times New Roman"/>
          <w:lang w:eastAsia="tr-TR"/>
        </w:rPr>
        <w:t>ğıd</w:t>
      </w:r>
      <w:r>
        <w:rPr>
          <w:rFonts w:ascii="Times New Roman" w:hAnsi="Times New Roman"/>
          <w:lang w:eastAsia="tr-TR"/>
        </w:rPr>
        <w:t xml:space="preserve">ı </w:t>
      </w:r>
      <w:r w:rsidR="003B1099">
        <w:rPr>
          <w:rFonts w:ascii="Times New Roman" w:hAnsi="Times New Roman"/>
          <w:lang w:eastAsia="tr-TR"/>
        </w:rPr>
        <w:t xml:space="preserve">işlevi gördüğünü söylemek mümkündür. Dünyanın hemen her yerinde varlığını hissettiren Covid-19 </w:t>
      </w:r>
      <w:proofErr w:type="spellStart"/>
      <w:r w:rsidR="003B1099">
        <w:rPr>
          <w:rFonts w:ascii="Times New Roman" w:hAnsi="Times New Roman"/>
          <w:lang w:eastAsia="tr-TR"/>
        </w:rPr>
        <w:t>pandemisi</w:t>
      </w:r>
      <w:proofErr w:type="spellEnd"/>
      <w:r w:rsidR="003B1099">
        <w:rPr>
          <w:rFonts w:ascii="Times New Roman" w:hAnsi="Times New Roman"/>
          <w:lang w:eastAsia="tr-TR"/>
        </w:rPr>
        <w:t xml:space="preserve"> bunun en güncel örneğidir. </w:t>
      </w:r>
      <w:r w:rsidR="004F1801">
        <w:rPr>
          <w:rFonts w:ascii="Times New Roman" w:hAnsi="Times New Roman"/>
          <w:lang w:eastAsia="tr-TR"/>
        </w:rPr>
        <w:t>F</w:t>
      </w:r>
      <w:r w:rsidR="003B1099" w:rsidRPr="003B1099">
        <w:rPr>
          <w:rFonts w:ascii="Times New Roman" w:hAnsi="Times New Roman"/>
          <w:lang w:eastAsia="tr-TR"/>
        </w:rPr>
        <w:t>arklı sosyal gruplar ve ülkeler üzerinde evrensel nitelikte ve çok boyutlu etki</w:t>
      </w:r>
      <w:r w:rsidR="003B1099">
        <w:rPr>
          <w:rFonts w:ascii="Times New Roman" w:hAnsi="Times New Roman"/>
          <w:lang w:eastAsia="tr-TR"/>
        </w:rPr>
        <w:t>ler yaratan bu salgın</w:t>
      </w:r>
      <w:r w:rsidR="00CF100B">
        <w:rPr>
          <w:rFonts w:ascii="Times New Roman" w:hAnsi="Times New Roman"/>
          <w:lang w:eastAsia="tr-TR"/>
        </w:rPr>
        <w:t xml:space="preserve">ın </w:t>
      </w:r>
      <w:r w:rsidR="00CF100B" w:rsidRPr="00CF100B">
        <w:rPr>
          <w:rFonts w:ascii="Times New Roman" w:hAnsi="Times New Roman"/>
          <w:lang w:eastAsia="tr-TR"/>
        </w:rPr>
        <w:t>yayılmasını önlemek ve salgını durdurabilmek için devletler düzeyinde alınan önlemler birçok anayasal hakka doğrudan etki etmektedir. Etki altında kalan bu hakların çerçevesi yalnızca klasik haklardan oluşmaz. Bunun yanında diğer pek çok sosyal, ekonomik ve kültürel hakka da uzanır.</w:t>
      </w:r>
      <w:r w:rsidR="00E05DFD">
        <w:rPr>
          <w:rFonts w:ascii="Times New Roman" w:hAnsi="Times New Roman"/>
          <w:lang w:eastAsia="tr-TR"/>
        </w:rPr>
        <w:t xml:space="preserve"> Hemen not etmek gerekir ki buradaki asıl tartışma, alınan önlemlerin gerekli olup olmadığı</w:t>
      </w:r>
      <w:r>
        <w:rPr>
          <w:rFonts w:ascii="Times New Roman" w:hAnsi="Times New Roman"/>
          <w:lang w:eastAsia="tr-TR"/>
        </w:rPr>
        <w:t>na ilişkin değildir</w:t>
      </w:r>
      <w:r w:rsidR="00E05DFD">
        <w:rPr>
          <w:rFonts w:ascii="Times New Roman" w:hAnsi="Times New Roman"/>
          <w:lang w:eastAsia="tr-TR"/>
        </w:rPr>
        <w:t>. Üzerinde durulması gereken sorun</w:t>
      </w:r>
      <w:r>
        <w:rPr>
          <w:rFonts w:ascii="Times New Roman" w:hAnsi="Times New Roman"/>
          <w:lang w:eastAsia="tr-TR"/>
        </w:rPr>
        <w:t xml:space="preserve"> hem kişilerin sağlık hakkının hem de toplum sağlığının korunması için </w:t>
      </w:r>
      <w:r w:rsidR="00E05DFD">
        <w:rPr>
          <w:rFonts w:ascii="Times New Roman" w:hAnsi="Times New Roman"/>
          <w:lang w:eastAsia="tr-TR"/>
        </w:rPr>
        <w:t xml:space="preserve">gerekli olan önlemler alınırken kullanılan yöntemler ve </w:t>
      </w:r>
      <w:proofErr w:type="spellStart"/>
      <w:r w:rsidR="00E05DFD">
        <w:rPr>
          <w:rFonts w:ascii="Times New Roman" w:hAnsi="Times New Roman"/>
          <w:lang w:eastAsia="tr-TR"/>
        </w:rPr>
        <w:t>pandeminin</w:t>
      </w:r>
      <w:proofErr w:type="spellEnd"/>
      <w:r w:rsidR="00E05DFD">
        <w:rPr>
          <w:rFonts w:ascii="Times New Roman" w:hAnsi="Times New Roman"/>
          <w:lang w:eastAsia="tr-TR"/>
        </w:rPr>
        <w:t xml:space="preserve"> adeta bir siyasi bahaneye dönüştürülüp farklı düzenlemelere de aracı edilip edilmediğidir.</w:t>
      </w:r>
      <w:r w:rsidR="00983DA8">
        <w:rPr>
          <w:rFonts w:ascii="Times New Roman" w:hAnsi="Times New Roman"/>
          <w:lang w:eastAsia="tr-TR"/>
        </w:rPr>
        <w:t xml:space="preserve"> Başka bir ifadeyle, </w:t>
      </w:r>
      <w:r w:rsidR="00B31457">
        <w:rPr>
          <w:rFonts w:ascii="Times New Roman" w:hAnsi="Times New Roman"/>
          <w:lang w:eastAsia="tr-TR"/>
        </w:rPr>
        <w:t>“</w:t>
      </w:r>
      <w:proofErr w:type="spellStart"/>
      <w:r w:rsidR="00983DA8">
        <w:rPr>
          <w:rFonts w:ascii="Times New Roman" w:hAnsi="Times New Roman"/>
          <w:lang w:eastAsia="tr-TR"/>
        </w:rPr>
        <w:t>pandemi</w:t>
      </w:r>
      <w:proofErr w:type="spellEnd"/>
      <w:r w:rsidR="00983DA8">
        <w:rPr>
          <w:rFonts w:ascii="Times New Roman" w:hAnsi="Times New Roman"/>
          <w:lang w:eastAsia="tr-TR"/>
        </w:rPr>
        <w:t xml:space="preserve">, özellikle liberal demokratik rejimlerde hukukun </w:t>
      </w:r>
      <w:proofErr w:type="spellStart"/>
      <w:r w:rsidR="00983DA8">
        <w:rPr>
          <w:rFonts w:ascii="Times New Roman" w:hAnsi="Times New Roman"/>
          <w:lang w:eastAsia="tr-TR"/>
        </w:rPr>
        <w:t>araçsallaştırılması</w:t>
      </w:r>
      <w:proofErr w:type="spellEnd"/>
      <w:r w:rsidR="00983DA8">
        <w:rPr>
          <w:rFonts w:ascii="Times New Roman" w:hAnsi="Times New Roman"/>
          <w:lang w:eastAsia="tr-TR"/>
        </w:rPr>
        <w:t xml:space="preserve"> için bir gerekçeye</w:t>
      </w:r>
      <w:r w:rsidR="00B31457">
        <w:rPr>
          <w:rFonts w:ascii="Times New Roman" w:hAnsi="Times New Roman"/>
          <w:lang w:eastAsia="tr-TR"/>
        </w:rPr>
        <w:t xml:space="preserve"> </w:t>
      </w:r>
      <w:r w:rsidR="00983DA8">
        <w:rPr>
          <w:rFonts w:ascii="Times New Roman" w:hAnsi="Times New Roman"/>
          <w:lang w:eastAsia="tr-TR"/>
        </w:rPr>
        <w:t>dönüştürüldü mü</w:t>
      </w:r>
      <w:r w:rsidR="00B31457">
        <w:rPr>
          <w:rFonts w:ascii="Times New Roman" w:hAnsi="Times New Roman"/>
          <w:lang w:eastAsia="tr-TR"/>
        </w:rPr>
        <w:t>”</w:t>
      </w:r>
      <w:r w:rsidR="00983DA8">
        <w:rPr>
          <w:rFonts w:ascii="Times New Roman" w:hAnsi="Times New Roman"/>
          <w:lang w:eastAsia="tr-TR"/>
        </w:rPr>
        <w:t xml:space="preserve"> sorusu çalışmanın</w:t>
      </w:r>
      <w:r w:rsidR="00FA14B4">
        <w:rPr>
          <w:rFonts w:ascii="Times New Roman" w:hAnsi="Times New Roman"/>
          <w:lang w:eastAsia="tr-TR"/>
        </w:rPr>
        <w:t xml:space="preserve"> </w:t>
      </w:r>
      <w:r w:rsidR="00983DA8">
        <w:rPr>
          <w:rFonts w:ascii="Times New Roman" w:hAnsi="Times New Roman"/>
          <w:lang w:eastAsia="tr-TR"/>
        </w:rPr>
        <w:t>çıkış noktasıdır.</w:t>
      </w:r>
      <w:r w:rsidR="004F1801">
        <w:rPr>
          <w:rFonts w:ascii="Times New Roman" w:hAnsi="Times New Roman"/>
          <w:lang w:eastAsia="tr-TR"/>
        </w:rPr>
        <w:t xml:space="preserve"> </w:t>
      </w:r>
      <w:r>
        <w:rPr>
          <w:rFonts w:ascii="Times New Roman" w:hAnsi="Times New Roman"/>
          <w:lang w:eastAsia="tr-TR"/>
        </w:rPr>
        <w:t xml:space="preserve">Bu kapsamda, </w:t>
      </w:r>
      <w:r w:rsidR="007B1AC8">
        <w:rPr>
          <w:rFonts w:ascii="Times New Roman" w:hAnsi="Times New Roman"/>
          <w:lang w:eastAsia="tr-TR"/>
        </w:rPr>
        <w:t>konu, üç</w:t>
      </w:r>
      <w:r>
        <w:rPr>
          <w:rFonts w:ascii="Times New Roman" w:hAnsi="Times New Roman"/>
          <w:lang w:eastAsia="tr-TR"/>
        </w:rPr>
        <w:t xml:space="preserve"> temel</w:t>
      </w:r>
      <w:r w:rsidRPr="00E05DFD">
        <w:rPr>
          <w:rFonts w:ascii="Times New Roman" w:hAnsi="Times New Roman"/>
          <w:lang w:eastAsia="tr-TR"/>
        </w:rPr>
        <w:t xml:space="preserve"> </w:t>
      </w:r>
      <w:r>
        <w:rPr>
          <w:rFonts w:ascii="Times New Roman" w:hAnsi="Times New Roman"/>
          <w:lang w:eastAsia="tr-TR"/>
        </w:rPr>
        <w:t>başlık altında</w:t>
      </w:r>
      <w:r w:rsidR="007A24F6">
        <w:rPr>
          <w:rFonts w:ascii="Times New Roman" w:hAnsi="Times New Roman"/>
          <w:lang w:eastAsia="tr-TR"/>
        </w:rPr>
        <w:t xml:space="preserve"> incelenecektir</w:t>
      </w:r>
      <w:r>
        <w:rPr>
          <w:rFonts w:ascii="Times New Roman" w:hAnsi="Times New Roman"/>
          <w:lang w:eastAsia="tr-TR"/>
        </w:rPr>
        <w:t xml:space="preserve">. İlk olarak, Covid-19 </w:t>
      </w:r>
      <w:proofErr w:type="spellStart"/>
      <w:r>
        <w:rPr>
          <w:rFonts w:ascii="Times New Roman" w:hAnsi="Times New Roman"/>
          <w:lang w:eastAsia="tr-TR"/>
        </w:rPr>
        <w:t>pandemisi</w:t>
      </w:r>
      <w:proofErr w:type="spellEnd"/>
      <w:r>
        <w:rPr>
          <w:rFonts w:ascii="Times New Roman" w:hAnsi="Times New Roman"/>
          <w:lang w:eastAsia="tr-TR"/>
        </w:rPr>
        <w:t xml:space="preserve"> kapsamında alınan önlemlerin içerik ve usul </w:t>
      </w:r>
      <w:r>
        <w:rPr>
          <w:rFonts w:ascii="Times New Roman" w:hAnsi="Times New Roman"/>
          <w:lang w:eastAsia="tr-TR"/>
        </w:rPr>
        <w:lastRenderedPageBreak/>
        <w:t>yönünden anayasallığı</w:t>
      </w:r>
      <w:r w:rsidR="007A24F6">
        <w:rPr>
          <w:rFonts w:ascii="Times New Roman" w:hAnsi="Times New Roman"/>
          <w:lang w:eastAsia="tr-TR"/>
        </w:rPr>
        <w:t xml:space="preserve"> ele alınacak, ikinci olarak </w:t>
      </w:r>
      <w:r>
        <w:rPr>
          <w:rFonts w:ascii="Times New Roman" w:hAnsi="Times New Roman"/>
          <w:lang w:eastAsia="tr-TR"/>
        </w:rPr>
        <w:t>bu önlemlerin temel hak ve özgürlüklere etkisi üzerinde kısaca durulacak</w:t>
      </w:r>
      <w:r w:rsidR="007A24F6">
        <w:rPr>
          <w:rFonts w:ascii="Times New Roman" w:hAnsi="Times New Roman"/>
          <w:lang w:eastAsia="tr-TR"/>
        </w:rPr>
        <w:t xml:space="preserve"> ve son olarak her iki </w:t>
      </w:r>
      <w:r>
        <w:rPr>
          <w:rFonts w:ascii="Times New Roman" w:hAnsi="Times New Roman"/>
          <w:lang w:eastAsia="tr-TR"/>
        </w:rPr>
        <w:t xml:space="preserve">başlıkla </w:t>
      </w:r>
      <w:r w:rsidR="007A24F6">
        <w:rPr>
          <w:rFonts w:ascii="Times New Roman" w:hAnsi="Times New Roman"/>
          <w:lang w:eastAsia="tr-TR"/>
        </w:rPr>
        <w:t xml:space="preserve">da </w:t>
      </w:r>
      <w:r>
        <w:rPr>
          <w:rFonts w:ascii="Times New Roman" w:hAnsi="Times New Roman"/>
          <w:lang w:eastAsia="tr-TR"/>
        </w:rPr>
        <w:t xml:space="preserve">doğrudan bağlantılı biçimde </w:t>
      </w:r>
      <w:proofErr w:type="spellStart"/>
      <w:r>
        <w:rPr>
          <w:rFonts w:ascii="Times New Roman" w:hAnsi="Times New Roman"/>
          <w:lang w:eastAsia="tr-TR"/>
        </w:rPr>
        <w:t>pandemi</w:t>
      </w:r>
      <w:proofErr w:type="spellEnd"/>
      <w:r>
        <w:rPr>
          <w:rFonts w:ascii="Times New Roman" w:hAnsi="Times New Roman"/>
          <w:lang w:eastAsia="tr-TR"/>
        </w:rPr>
        <w:t xml:space="preserve"> nedeniyle alınan önlemlerin hukukun </w:t>
      </w:r>
      <w:proofErr w:type="spellStart"/>
      <w:r>
        <w:rPr>
          <w:rFonts w:ascii="Times New Roman" w:hAnsi="Times New Roman"/>
          <w:lang w:eastAsia="tr-TR"/>
        </w:rPr>
        <w:t>araçsallaştırılmasının</w:t>
      </w:r>
      <w:proofErr w:type="spellEnd"/>
      <w:r>
        <w:rPr>
          <w:rFonts w:ascii="Times New Roman" w:hAnsi="Times New Roman"/>
          <w:lang w:eastAsia="tr-TR"/>
        </w:rPr>
        <w:t xml:space="preserve"> bir göstergesi olup olmadığı tartışılacaktır. Çalışmada karşılaştırmalı bir yaklaşım tercih edilecektir. Bu çerçevede, </w:t>
      </w:r>
      <w:r w:rsidR="00263AE7">
        <w:rPr>
          <w:rFonts w:ascii="Times New Roman" w:hAnsi="Times New Roman"/>
          <w:lang w:eastAsia="tr-TR"/>
        </w:rPr>
        <w:t>liberal demokratik rejimler arasında yer alan Almanya ve Danimarka ile</w:t>
      </w:r>
      <w:r w:rsidR="00954559">
        <w:rPr>
          <w:rFonts w:ascii="Times New Roman" w:hAnsi="Times New Roman"/>
          <w:lang w:eastAsia="tr-TR"/>
        </w:rPr>
        <w:t xml:space="preserve"> kusurlu/pekişmemiş</w:t>
      </w:r>
      <w:r w:rsidR="00B40E2E">
        <w:rPr>
          <w:rFonts w:ascii="Times New Roman" w:hAnsi="Times New Roman"/>
          <w:lang w:eastAsia="tr-TR"/>
        </w:rPr>
        <w:t xml:space="preserve">/yerleşik olmayan veya yarı </w:t>
      </w:r>
      <w:r w:rsidR="00263AE7">
        <w:rPr>
          <w:rFonts w:ascii="Times New Roman" w:hAnsi="Times New Roman"/>
          <w:lang w:eastAsia="tr-TR"/>
        </w:rPr>
        <w:t>demokra</w:t>
      </w:r>
      <w:r w:rsidR="00B40E2E">
        <w:rPr>
          <w:rFonts w:ascii="Times New Roman" w:hAnsi="Times New Roman"/>
          <w:lang w:eastAsia="tr-TR"/>
        </w:rPr>
        <w:t xml:space="preserve">tik ülkeler </w:t>
      </w:r>
      <w:r w:rsidR="00263AE7">
        <w:rPr>
          <w:rFonts w:ascii="Times New Roman" w:hAnsi="Times New Roman"/>
          <w:lang w:eastAsia="tr-TR"/>
        </w:rPr>
        <w:t>olarak adlandırılabilecek</w:t>
      </w:r>
      <w:r w:rsidR="00B40E2E">
        <w:rPr>
          <w:rStyle w:val="FootnoteReference"/>
          <w:rFonts w:ascii="Times New Roman" w:hAnsi="Times New Roman"/>
          <w:lang w:eastAsia="tr-TR"/>
        </w:rPr>
        <w:footnoteReference w:id="3"/>
      </w:r>
      <w:r w:rsidR="00263AE7">
        <w:rPr>
          <w:rFonts w:ascii="Times New Roman" w:hAnsi="Times New Roman"/>
          <w:lang w:eastAsia="tr-TR"/>
        </w:rPr>
        <w:t xml:space="preserve"> Belçika, </w:t>
      </w:r>
      <w:r w:rsidR="00D944EC">
        <w:rPr>
          <w:rFonts w:ascii="Times New Roman" w:hAnsi="Times New Roman"/>
          <w:lang w:eastAsia="tr-TR"/>
        </w:rPr>
        <w:t>Macaristan</w:t>
      </w:r>
      <w:r w:rsidR="00263AE7">
        <w:rPr>
          <w:rFonts w:ascii="Times New Roman" w:hAnsi="Times New Roman"/>
          <w:lang w:eastAsia="tr-TR"/>
        </w:rPr>
        <w:t xml:space="preserve"> ve </w:t>
      </w:r>
      <w:r w:rsidR="00D944EC">
        <w:rPr>
          <w:rFonts w:ascii="Times New Roman" w:hAnsi="Times New Roman"/>
          <w:lang w:eastAsia="tr-TR"/>
        </w:rPr>
        <w:t>Polonya</w:t>
      </w:r>
      <w:r w:rsidR="00263AE7">
        <w:rPr>
          <w:rFonts w:ascii="Times New Roman" w:hAnsi="Times New Roman"/>
          <w:lang w:eastAsia="tr-TR"/>
        </w:rPr>
        <w:t xml:space="preserve"> gibi </w:t>
      </w:r>
      <w:r>
        <w:rPr>
          <w:rFonts w:ascii="Times New Roman" w:hAnsi="Times New Roman"/>
          <w:lang w:eastAsia="tr-TR"/>
        </w:rPr>
        <w:t>Avrupa Birliği üye ülke</w:t>
      </w:r>
      <w:r w:rsidR="00263AE7">
        <w:rPr>
          <w:rFonts w:ascii="Times New Roman" w:hAnsi="Times New Roman"/>
          <w:lang w:eastAsia="tr-TR"/>
        </w:rPr>
        <w:t xml:space="preserve">leri </w:t>
      </w:r>
      <w:r w:rsidR="00D944EC">
        <w:rPr>
          <w:rFonts w:ascii="Times New Roman" w:hAnsi="Times New Roman"/>
          <w:lang w:eastAsia="tr-TR"/>
        </w:rPr>
        <w:t xml:space="preserve">ile </w:t>
      </w:r>
      <w:r w:rsidR="00A443F4">
        <w:rPr>
          <w:rFonts w:ascii="Times New Roman" w:hAnsi="Times New Roman"/>
          <w:lang w:eastAsia="tr-TR"/>
        </w:rPr>
        <w:t xml:space="preserve">Amerika Birleşik Devletleri ve </w:t>
      </w:r>
      <w:r>
        <w:rPr>
          <w:rFonts w:ascii="Times New Roman" w:hAnsi="Times New Roman"/>
          <w:lang w:eastAsia="tr-TR"/>
        </w:rPr>
        <w:t>Türkiye arasında karşılaştırmalı</w:t>
      </w:r>
      <w:r w:rsidR="00263AE7">
        <w:rPr>
          <w:rFonts w:ascii="Times New Roman" w:hAnsi="Times New Roman"/>
          <w:lang w:eastAsia="tr-TR"/>
        </w:rPr>
        <w:t>,</w:t>
      </w:r>
      <w:r>
        <w:rPr>
          <w:rFonts w:ascii="Times New Roman" w:hAnsi="Times New Roman"/>
          <w:lang w:eastAsia="tr-TR"/>
        </w:rPr>
        <w:t xml:space="preserve"> </w:t>
      </w:r>
      <w:r w:rsidR="00D944EC">
        <w:rPr>
          <w:rFonts w:ascii="Times New Roman" w:hAnsi="Times New Roman"/>
          <w:lang w:eastAsia="tr-TR"/>
        </w:rPr>
        <w:t>ancak</w:t>
      </w:r>
      <w:r w:rsidR="00263AE7">
        <w:rPr>
          <w:rFonts w:ascii="Times New Roman" w:hAnsi="Times New Roman"/>
          <w:lang w:eastAsia="tr-TR"/>
        </w:rPr>
        <w:t xml:space="preserve"> çalışmanın kapsamını aşmayacak ölçüde</w:t>
      </w:r>
      <w:r w:rsidR="00D944EC">
        <w:rPr>
          <w:rFonts w:ascii="Times New Roman" w:hAnsi="Times New Roman"/>
          <w:lang w:eastAsia="tr-TR"/>
        </w:rPr>
        <w:t xml:space="preserve"> </w:t>
      </w:r>
      <w:r w:rsidR="00C76E05">
        <w:rPr>
          <w:rFonts w:ascii="Times New Roman" w:hAnsi="Times New Roman"/>
          <w:lang w:eastAsia="tr-TR"/>
        </w:rPr>
        <w:t xml:space="preserve">kısa bir </w:t>
      </w:r>
      <w:r>
        <w:rPr>
          <w:rFonts w:ascii="Times New Roman" w:hAnsi="Times New Roman"/>
          <w:lang w:eastAsia="tr-TR"/>
        </w:rPr>
        <w:t>inceleme yapılacak</w:t>
      </w:r>
      <w:r w:rsidR="00C76E05">
        <w:rPr>
          <w:rFonts w:ascii="Times New Roman" w:hAnsi="Times New Roman"/>
          <w:lang w:eastAsia="tr-TR"/>
        </w:rPr>
        <w:t xml:space="preserve"> ve böylece</w:t>
      </w:r>
      <w:r>
        <w:rPr>
          <w:rFonts w:ascii="Times New Roman" w:hAnsi="Times New Roman"/>
          <w:lang w:eastAsia="tr-TR"/>
        </w:rPr>
        <w:t xml:space="preserve"> </w:t>
      </w:r>
      <w:r w:rsidRPr="00CF100B">
        <w:rPr>
          <w:rFonts w:ascii="Times New Roman" w:hAnsi="Times New Roman"/>
          <w:lang w:eastAsia="tr-TR"/>
        </w:rPr>
        <w:t>salgının birçok devlette</w:t>
      </w:r>
      <w:r>
        <w:rPr>
          <w:rFonts w:ascii="Times New Roman" w:hAnsi="Times New Roman"/>
          <w:lang w:eastAsia="tr-TR"/>
        </w:rPr>
        <w:t xml:space="preserve"> </w:t>
      </w:r>
      <w:r w:rsidRPr="00CF100B">
        <w:rPr>
          <w:rFonts w:ascii="Times New Roman" w:hAnsi="Times New Roman"/>
          <w:lang w:eastAsia="tr-TR"/>
        </w:rPr>
        <w:t>siyasi sistemin gerçek doğasını ortaya çıkar</w:t>
      </w:r>
      <w:r>
        <w:rPr>
          <w:rFonts w:ascii="Times New Roman" w:hAnsi="Times New Roman"/>
          <w:lang w:eastAsia="tr-TR"/>
        </w:rPr>
        <w:t xml:space="preserve">dığı ve özellikle hukuk devleti açısından tartışmalı olan, </w:t>
      </w:r>
      <w:r w:rsidRPr="00E05DFD">
        <w:rPr>
          <w:rFonts w:ascii="Times New Roman" w:hAnsi="Times New Roman"/>
          <w:lang w:eastAsia="tr-TR"/>
        </w:rPr>
        <w:t>otoriterliğe yakın siyasal iktidarların elini güçlendirdiği</w:t>
      </w:r>
      <w:r>
        <w:rPr>
          <w:rFonts w:ascii="Times New Roman" w:hAnsi="Times New Roman"/>
          <w:lang w:eastAsia="tr-TR"/>
        </w:rPr>
        <w:t xml:space="preserve"> savına yakından bakılacaktır. </w:t>
      </w:r>
    </w:p>
    <w:p w14:paraId="4B96CFBE" w14:textId="02ADBF73" w:rsidR="00B35602" w:rsidRPr="006333EB" w:rsidRDefault="00FB3B85" w:rsidP="00503EB4">
      <w:pPr>
        <w:jc w:val="both"/>
        <w:rPr>
          <w:rFonts w:ascii="Times New Roman" w:hAnsi="Times New Roman"/>
          <w:b/>
          <w:bCs/>
          <w:lang w:eastAsia="tr-TR"/>
        </w:rPr>
      </w:pPr>
      <w:r w:rsidRPr="006333EB">
        <w:rPr>
          <w:rFonts w:ascii="Times New Roman" w:hAnsi="Times New Roman"/>
          <w:b/>
          <w:bCs/>
          <w:lang w:eastAsia="tr-TR"/>
        </w:rPr>
        <w:tab/>
      </w:r>
      <w:r w:rsidR="00B35602" w:rsidRPr="006333EB">
        <w:rPr>
          <w:rFonts w:ascii="Times New Roman" w:hAnsi="Times New Roman"/>
          <w:b/>
          <w:bCs/>
          <w:lang w:eastAsia="tr-TR"/>
        </w:rPr>
        <w:t>I</w:t>
      </w:r>
      <w:r w:rsidR="00675717" w:rsidRPr="006333EB">
        <w:rPr>
          <w:rFonts w:ascii="Times New Roman" w:hAnsi="Times New Roman"/>
          <w:b/>
          <w:bCs/>
          <w:lang w:eastAsia="tr-TR"/>
        </w:rPr>
        <w:t>I</w:t>
      </w:r>
      <w:r w:rsidR="00B35602" w:rsidRPr="006333EB">
        <w:rPr>
          <w:rFonts w:ascii="Times New Roman" w:hAnsi="Times New Roman"/>
          <w:b/>
          <w:bCs/>
          <w:lang w:eastAsia="tr-TR"/>
        </w:rPr>
        <w:t>. COVID-1P PANDEMİSİ</w:t>
      </w:r>
      <w:r w:rsidRPr="006333EB">
        <w:rPr>
          <w:rFonts w:ascii="Times New Roman" w:hAnsi="Times New Roman"/>
          <w:b/>
          <w:bCs/>
          <w:lang w:eastAsia="tr-TR"/>
        </w:rPr>
        <w:t xml:space="preserve">NE KARŞI ALINAN ÖNLEMLER </w:t>
      </w:r>
      <w:r w:rsidR="00B35602" w:rsidRPr="006333EB">
        <w:rPr>
          <w:rFonts w:ascii="Times New Roman" w:hAnsi="Times New Roman"/>
          <w:b/>
          <w:bCs/>
          <w:lang w:eastAsia="tr-TR"/>
        </w:rPr>
        <w:t xml:space="preserve">VE </w:t>
      </w:r>
      <w:r w:rsidRPr="006333EB">
        <w:rPr>
          <w:rFonts w:ascii="Times New Roman" w:hAnsi="Times New Roman"/>
          <w:b/>
          <w:bCs/>
          <w:lang w:eastAsia="tr-TR"/>
        </w:rPr>
        <w:t xml:space="preserve">DÜNYA’DAN </w:t>
      </w:r>
      <w:r w:rsidRPr="006333EB">
        <w:rPr>
          <w:rFonts w:ascii="Times New Roman" w:hAnsi="Times New Roman"/>
          <w:b/>
          <w:bCs/>
          <w:lang w:eastAsia="tr-TR"/>
        </w:rPr>
        <w:tab/>
      </w:r>
      <w:r w:rsidR="00B35602" w:rsidRPr="006333EB">
        <w:rPr>
          <w:rFonts w:ascii="Times New Roman" w:hAnsi="Times New Roman"/>
          <w:b/>
          <w:bCs/>
          <w:lang w:eastAsia="tr-TR"/>
        </w:rPr>
        <w:t>HUKUKUN ARAÇSALLAŞTIRILMASI ÖRNEKLERİ</w:t>
      </w:r>
    </w:p>
    <w:p w14:paraId="2A9C5905" w14:textId="2D5A09A8" w:rsidR="00FB3B85" w:rsidRDefault="00FB3B85" w:rsidP="00503EB4">
      <w:pPr>
        <w:jc w:val="both"/>
        <w:rPr>
          <w:rFonts w:ascii="Times New Roman" w:hAnsi="Times New Roman"/>
          <w:lang w:eastAsia="tr-TR"/>
        </w:rPr>
      </w:pPr>
      <w:r>
        <w:rPr>
          <w:rFonts w:ascii="Times New Roman" w:hAnsi="Times New Roman"/>
          <w:lang w:eastAsia="tr-TR"/>
        </w:rPr>
        <w:tab/>
      </w:r>
      <w:r w:rsidRPr="00FB3B85">
        <w:rPr>
          <w:rFonts w:ascii="Times New Roman" w:hAnsi="Times New Roman"/>
          <w:lang w:eastAsia="tr-TR"/>
        </w:rPr>
        <w:t>31 Aralık 2019'da Çin Halk Cumhuriyeti</w:t>
      </w:r>
      <w:r>
        <w:rPr>
          <w:rFonts w:ascii="Times New Roman" w:hAnsi="Times New Roman"/>
          <w:lang w:eastAsia="tr-TR"/>
        </w:rPr>
        <w:t xml:space="preserve"> tarafından </w:t>
      </w:r>
      <w:r w:rsidRPr="00FB3B85">
        <w:rPr>
          <w:rFonts w:ascii="Times New Roman" w:hAnsi="Times New Roman"/>
          <w:lang w:eastAsia="tr-TR"/>
        </w:rPr>
        <w:t xml:space="preserve">bildirilen ilk bilinmeyen </w:t>
      </w:r>
      <w:proofErr w:type="spellStart"/>
      <w:r w:rsidRPr="00FB3B85">
        <w:rPr>
          <w:rFonts w:ascii="Times New Roman" w:hAnsi="Times New Roman"/>
          <w:lang w:eastAsia="tr-TR"/>
        </w:rPr>
        <w:t>pnömoni</w:t>
      </w:r>
      <w:proofErr w:type="spellEnd"/>
      <w:r w:rsidRPr="00FB3B85">
        <w:rPr>
          <w:rFonts w:ascii="Times New Roman" w:hAnsi="Times New Roman"/>
          <w:lang w:eastAsia="tr-TR"/>
        </w:rPr>
        <w:t xml:space="preserve"> vakası ile birkaç hafta içinde </w:t>
      </w:r>
      <w:r>
        <w:rPr>
          <w:rFonts w:ascii="Times New Roman" w:hAnsi="Times New Roman"/>
          <w:lang w:eastAsia="tr-TR"/>
        </w:rPr>
        <w:t xml:space="preserve">-tam olarak </w:t>
      </w:r>
      <w:r w:rsidRPr="00FB3B85">
        <w:rPr>
          <w:rFonts w:ascii="Times New Roman" w:hAnsi="Times New Roman"/>
          <w:lang w:eastAsia="tr-TR"/>
        </w:rPr>
        <w:t>30 Ocak 2020'de</w:t>
      </w:r>
      <w:r>
        <w:rPr>
          <w:rFonts w:ascii="Times New Roman" w:hAnsi="Times New Roman"/>
          <w:lang w:eastAsia="tr-TR"/>
        </w:rPr>
        <w:t xml:space="preserve">- </w:t>
      </w:r>
      <w:r w:rsidRPr="00FB3B85">
        <w:rPr>
          <w:rFonts w:ascii="Times New Roman" w:hAnsi="Times New Roman"/>
          <w:lang w:eastAsia="tr-TR"/>
        </w:rPr>
        <w:t xml:space="preserve">Dünya Sağlık Örgütü tarafından </w:t>
      </w:r>
      <w:proofErr w:type="spellStart"/>
      <w:r w:rsidRPr="00FB3B85">
        <w:rPr>
          <w:rFonts w:ascii="Times New Roman" w:hAnsi="Times New Roman"/>
          <w:lang w:eastAsia="tr-TR"/>
        </w:rPr>
        <w:t>koronavirüs</w:t>
      </w:r>
      <w:proofErr w:type="spellEnd"/>
      <w:r w:rsidRPr="00FB3B85">
        <w:rPr>
          <w:rFonts w:ascii="Times New Roman" w:hAnsi="Times New Roman"/>
          <w:lang w:eastAsia="tr-TR"/>
        </w:rPr>
        <w:t xml:space="preserve"> (Covid-19)</w:t>
      </w:r>
      <w:r>
        <w:rPr>
          <w:rFonts w:ascii="Times New Roman" w:hAnsi="Times New Roman"/>
          <w:lang w:eastAsia="tr-TR"/>
        </w:rPr>
        <w:t xml:space="preserve"> </w:t>
      </w:r>
      <w:proofErr w:type="spellStart"/>
      <w:r w:rsidRPr="00FB3B85">
        <w:rPr>
          <w:rFonts w:ascii="Times New Roman" w:hAnsi="Times New Roman"/>
          <w:lang w:eastAsia="tr-TR"/>
        </w:rPr>
        <w:t>pandemi</w:t>
      </w:r>
      <w:r>
        <w:rPr>
          <w:rFonts w:ascii="Times New Roman" w:hAnsi="Times New Roman"/>
          <w:lang w:eastAsia="tr-TR"/>
        </w:rPr>
        <w:t>si</w:t>
      </w:r>
      <w:proofErr w:type="spellEnd"/>
      <w:r>
        <w:rPr>
          <w:rFonts w:ascii="Times New Roman" w:hAnsi="Times New Roman"/>
          <w:lang w:eastAsia="tr-TR"/>
        </w:rPr>
        <w:t xml:space="preserve"> </w:t>
      </w:r>
      <w:r w:rsidRPr="00FB3B85">
        <w:rPr>
          <w:rFonts w:ascii="Times New Roman" w:hAnsi="Times New Roman"/>
          <w:lang w:eastAsia="tr-TR"/>
        </w:rPr>
        <w:t xml:space="preserve">ilan edildi. O zamandan </w:t>
      </w:r>
      <w:r>
        <w:rPr>
          <w:rFonts w:ascii="Times New Roman" w:hAnsi="Times New Roman"/>
          <w:lang w:eastAsia="tr-TR"/>
        </w:rPr>
        <w:t xml:space="preserve">bu yana </w:t>
      </w:r>
      <w:r w:rsidRPr="00FB3B85">
        <w:rPr>
          <w:rFonts w:ascii="Times New Roman" w:hAnsi="Times New Roman"/>
          <w:lang w:eastAsia="tr-TR"/>
        </w:rPr>
        <w:t xml:space="preserve">dünyanın </w:t>
      </w:r>
      <w:r>
        <w:rPr>
          <w:rFonts w:ascii="Times New Roman" w:hAnsi="Times New Roman"/>
          <w:lang w:eastAsia="tr-TR"/>
        </w:rPr>
        <w:t>hemen her yerine yayılan salgının taşıdığı</w:t>
      </w:r>
      <w:r w:rsidRPr="00FB3B85">
        <w:rPr>
          <w:rFonts w:ascii="Times New Roman" w:hAnsi="Times New Roman"/>
          <w:lang w:eastAsia="tr-TR"/>
        </w:rPr>
        <w:t xml:space="preserve"> sağlık tehdidi ve insan sağlığı için temsil ettiği zorluk</w:t>
      </w:r>
      <w:r>
        <w:rPr>
          <w:rFonts w:ascii="Times New Roman" w:hAnsi="Times New Roman"/>
          <w:lang w:eastAsia="tr-TR"/>
        </w:rPr>
        <w:t xml:space="preserve">lar </w:t>
      </w:r>
      <w:r w:rsidRPr="00FB3B85">
        <w:rPr>
          <w:rFonts w:ascii="Times New Roman" w:hAnsi="Times New Roman"/>
          <w:lang w:eastAsia="tr-TR"/>
        </w:rPr>
        <w:t xml:space="preserve">her şeyden önemli </w:t>
      </w:r>
      <w:r>
        <w:rPr>
          <w:rFonts w:ascii="Times New Roman" w:hAnsi="Times New Roman"/>
          <w:lang w:eastAsia="tr-TR"/>
        </w:rPr>
        <w:t>kabul edildi. Kuşkusuz</w:t>
      </w:r>
      <w:r w:rsidR="00CA03B2">
        <w:rPr>
          <w:rFonts w:ascii="Times New Roman" w:hAnsi="Times New Roman"/>
          <w:lang w:eastAsia="tr-TR"/>
        </w:rPr>
        <w:t>,</w:t>
      </w:r>
      <w:r>
        <w:rPr>
          <w:rFonts w:ascii="Times New Roman" w:hAnsi="Times New Roman"/>
          <w:lang w:eastAsia="tr-TR"/>
        </w:rPr>
        <w:t xml:space="preserve"> </w:t>
      </w:r>
      <w:r w:rsidR="00CA03B2">
        <w:rPr>
          <w:rFonts w:ascii="Times New Roman" w:hAnsi="Times New Roman"/>
          <w:lang w:eastAsia="tr-TR"/>
        </w:rPr>
        <w:t xml:space="preserve">neredeyse son yüzyıldaki en büyük salgın olan Covid-19 </w:t>
      </w:r>
      <w:proofErr w:type="spellStart"/>
      <w:r w:rsidR="00CA03B2">
        <w:rPr>
          <w:rFonts w:ascii="Times New Roman" w:hAnsi="Times New Roman"/>
          <w:lang w:eastAsia="tr-TR"/>
        </w:rPr>
        <w:t>pandemisinin</w:t>
      </w:r>
      <w:proofErr w:type="spellEnd"/>
      <w:r w:rsidR="00CA03B2">
        <w:rPr>
          <w:rFonts w:ascii="Times New Roman" w:hAnsi="Times New Roman"/>
          <w:lang w:eastAsia="tr-TR"/>
        </w:rPr>
        <w:t xml:space="preserve"> bireysel ve toplumsal sağlığa etkileri çok büyük olmakla birlikte</w:t>
      </w:r>
      <w:r>
        <w:rPr>
          <w:rFonts w:ascii="Times New Roman" w:hAnsi="Times New Roman"/>
          <w:lang w:eastAsia="tr-TR"/>
        </w:rPr>
        <w:t xml:space="preserve">, </w:t>
      </w:r>
      <w:r w:rsidR="00CA03B2">
        <w:rPr>
          <w:rFonts w:ascii="Times New Roman" w:hAnsi="Times New Roman"/>
          <w:lang w:eastAsia="tr-TR"/>
        </w:rPr>
        <w:t xml:space="preserve">pek çok </w:t>
      </w:r>
      <w:r w:rsidR="004D289D">
        <w:rPr>
          <w:rFonts w:ascii="Times New Roman" w:hAnsi="Times New Roman"/>
          <w:lang w:eastAsia="tr-TR"/>
        </w:rPr>
        <w:t xml:space="preserve">ulusal </w:t>
      </w:r>
      <w:r>
        <w:rPr>
          <w:rFonts w:ascii="Times New Roman" w:hAnsi="Times New Roman"/>
          <w:lang w:eastAsia="tr-TR"/>
        </w:rPr>
        <w:t>üstü düzenlemede söz konusu salgının hukuk</w:t>
      </w:r>
      <w:r w:rsidRPr="00FB3B85">
        <w:rPr>
          <w:rFonts w:ascii="Times New Roman" w:hAnsi="Times New Roman"/>
          <w:lang w:eastAsia="tr-TR"/>
        </w:rPr>
        <w:t xml:space="preserve"> düzen</w:t>
      </w:r>
      <w:r>
        <w:rPr>
          <w:rFonts w:ascii="Times New Roman" w:hAnsi="Times New Roman"/>
          <w:lang w:eastAsia="tr-TR"/>
        </w:rPr>
        <w:t>in</w:t>
      </w:r>
      <w:r w:rsidRPr="00FB3B85">
        <w:rPr>
          <w:rFonts w:ascii="Times New Roman" w:hAnsi="Times New Roman"/>
          <w:lang w:eastAsia="tr-TR"/>
        </w:rPr>
        <w:t>e getirdiği baskı</w:t>
      </w:r>
      <w:r>
        <w:rPr>
          <w:rFonts w:ascii="Times New Roman" w:hAnsi="Times New Roman"/>
          <w:lang w:eastAsia="tr-TR"/>
        </w:rPr>
        <w:t xml:space="preserve">nın </w:t>
      </w:r>
      <w:r w:rsidRPr="00FB3B85">
        <w:rPr>
          <w:rFonts w:ascii="Times New Roman" w:hAnsi="Times New Roman"/>
          <w:lang w:eastAsia="tr-TR"/>
        </w:rPr>
        <w:t xml:space="preserve">daha az önemli </w:t>
      </w:r>
      <w:r>
        <w:rPr>
          <w:rFonts w:ascii="Times New Roman" w:hAnsi="Times New Roman"/>
          <w:lang w:eastAsia="tr-TR"/>
        </w:rPr>
        <w:t xml:space="preserve">olmadığına da </w:t>
      </w:r>
      <w:r w:rsidR="004D289D">
        <w:rPr>
          <w:rFonts w:ascii="Times New Roman" w:hAnsi="Times New Roman"/>
          <w:lang w:eastAsia="tr-TR"/>
        </w:rPr>
        <w:t xml:space="preserve">sıklıkla </w:t>
      </w:r>
      <w:r>
        <w:rPr>
          <w:rFonts w:ascii="Times New Roman" w:hAnsi="Times New Roman"/>
          <w:lang w:eastAsia="tr-TR"/>
        </w:rPr>
        <w:t>değinildi</w:t>
      </w:r>
      <w:r>
        <w:rPr>
          <w:rStyle w:val="FootnoteReference"/>
          <w:rFonts w:ascii="Times New Roman" w:hAnsi="Times New Roman"/>
          <w:lang w:eastAsia="tr-TR"/>
        </w:rPr>
        <w:footnoteReference w:id="4"/>
      </w:r>
      <w:r>
        <w:rPr>
          <w:rFonts w:ascii="Times New Roman" w:hAnsi="Times New Roman"/>
          <w:lang w:eastAsia="tr-TR"/>
        </w:rPr>
        <w:t>.</w:t>
      </w:r>
      <w:r w:rsidR="009E465F">
        <w:rPr>
          <w:rFonts w:ascii="Times New Roman" w:hAnsi="Times New Roman"/>
          <w:lang w:eastAsia="tr-TR"/>
        </w:rPr>
        <w:t xml:space="preserve"> </w:t>
      </w:r>
    </w:p>
    <w:p w14:paraId="4155ECD6" w14:textId="091816CA" w:rsidR="005C04A0" w:rsidRDefault="009E465F" w:rsidP="00503EB4">
      <w:pPr>
        <w:jc w:val="both"/>
        <w:rPr>
          <w:rFonts w:ascii="Times New Roman" w:hAnsi="Times New Roman"/>
          <w:lang w:eastAsia="tr-TR"/>
        </w:rPr>
      </w:pPr>
      <w:r>
        <w:rPr>
          <w:rFonts w:ascii="Times New Roman" w:hAnsi="Times New Roman"/>
          <w:lang w:eastAsia="tr-TR"/>
        </w:rPr>
        <w:tab/>
      </w:r>
      <w:r w:rsidRPr="009E465F">
        <w:rPr>
          <w:rFonts w:ascii="Times New Roman" w:hAnsi="Times New Roman"/>
          <w:lang w:eastAsia="tr-TR"/>
        </w:rPr>
        <w:t xml:space="preserve">Salgın nedeniyle </w:t>
      </w:r>
      <w:r w:rsidR="004D289D">
        <w:rPr>
          <w:rFonts w:ascii="Times New Roman" w:hAnsi="Times New Roman"/>
          <w:lang w:eastAsia="tr-TR"/>
        </w:rPr>
        <w:t>d</w:t>
      </w:r>
      <w:r w:rsidRPr="009E465F">
        <w:rPr>
          <w:rFonts w:ascii="Times New Roman" w:hAnsi="Times New Roman"/>
          <w:lang w:eastAsia="tr-TR"/>
        </w:rPr>
        <w:t xml:space="preserve">evletler, </w:t>
      </w:r>
      <w:r>
        <w:rPr>
          <w:rFonts w:ascii="Times New Roman" w:hAnsi="Times New Roman"/>
          <w:lang w:eastAsia="tr-TR"/>
        </w:rPr>
        <w:t>t</w:t>
      </w:r>
      <w:r w:rsidRPr="009E465F">
        <w:rPr>
          <w:rFonts w:ascii="Times New Roman" w:hAnsi="Times New Roman"/>
          <w:lang w:eastAsia="tr-TR"/>
        </w:rPr>
        <w:t xml:space="preserve">emel </w:t>
      </w:r>
      <w:r>
        <w:rPr>
          <w:rFonts w:ascii="Times New Roman" w:hAnsi="Times New Roman"/>
          <w:lang w:eastAsia="tr-TR"/>
        </w:rPr>
        <w:t xml:space="preserve">hak ve </w:t>
      </w:r>
      <w:r w:rsidRPr="009E465F">
        <w:rPr>
          <w:rFonts w:ascii="Times New Roman" w:hAnsi="Times New Roman"/>
          <w:lang w:eastAsia="tr-TR"/>
        </w:rPr>
        <w:t xml:space="preserve">özgürlükler ve </w:t>
      </w:r>
      <w:r>
        <w:rPr>
          <w:rFonts w:ascii="Times New Roman" w:hAnsi="Times New Roman"/>
          <w:lang w:eastAsia="tr-TR"/>
        </w:rPr>
        <w:t xml:space="preserve">çoğulcu </w:t>
      </w:r>
      <w:r w:rsidRPr="009E465F">
        <w:rPr>
          <w:rFonts w:ascii="Times New Roman" w:hAnsi="Times New Roman"/>
          <w:lang w:eastAsia="tr-TR"/>
        </w:rPr>
        <w:t xml:space="preserve">demokratik </w:t>
      </w:r>
      <w:r>
        <w:rPr>
          <w:rFonts w:ascii="Times New Roman" w:hAnsi="Times New Roman"/>
          <w:lang w:eastAsia="tr-TR"/>
        </w:rPr>
        <w:t xml:space="preserve">ilkelere uygun kararlar </w:t>
      </w:r>
      <w:r w:rsidRPr="009E465F">
        <w:rPr>
          <w:rFonts w:ascii="Times New Roman" w:hAnsi="Times New Roman"/>
          <w:lang w:eastAsia="tr-TR"/>
        </w:rPr>
        <w:t xml:space="preserve">alma ile </w:t>
      </w:r>
      <w:r>
        <w:rPr>
          <w:rFonts w:ascii="Times New Roman" w:hAnsi="Times New Roman"/>
          <w:lang w:eastAsia="tr-TR"/>
        </w:rPr>
        <w:t xml:space="preserve">risklerin önlenmesi için tercih edilen </w:t>
      </w:r>
      <w:r w:rsidRPr="009E465F">
        <w:rPr>
          <w:rFonts w:ascii="Times New Roman" w:hAnsi="Times New Roman"/>
          <w:lang w:eastAsia="tr-TR"/>
        </w:rPr>
        <w:t>sağlık politikaları</w:t>
      </w:r>
      <w:r>
        <w:rPr>
          <w:rFonts w:ascii="Times New Roman" w:hAnsi="Times New Roman"/>
          <w:lang w:eastAsia="tr-TR"/>
        </w:rPr>
        <w:t xml:space="preserve"> </w:t>
      </w:r>
      <w:r w:rsidRPr="009E465F">
        <w:rPr>
          <w:rFonts w:ascii="Times New Roman" w:hAnsi="Times New Roman"/>
          <w:lang w:eastAsia="tr-TR"/>
        </w:rPr>
        <w:t>arasında bir denge bulmak gibi zor bir görevle karşı karşıya</w:t>
      </w:r>
      <w:r>
        <w:rPr>
          <w:rFonts w:ascii="Times New Roman" w:hAnsi="Times New Roman"/>
          <w:lang w:eastAsia="tr-TR"/>
        </w:rPr>
        <w:t xml:space="preserve"> kal</w:t>
      </w:r>
      <w:r w:rsidR="004D289D">
        <w:rPr>
          <w:rFonts w:ascii="Times New Roman" w:hAnsi="Times New Roman"/>
          <w:lang w:eastAsia="tr-TR"/>
        </w:rPr>
        <w:t>dılar</w:t>
      </w:r>
      <w:r>
        <w:rPr>
          <w:rFonts w:ascii="Times New Roman" w:hAnsi="Times New Roman"/>
          <w:lang w:eastAsia="tr-TR"/>
        </w:rPr>
        <w:t xml:space="preserve">. Dolayısıyla, terazinin bir kefesinde </w:t>
      </w:r>
      <w:r w:rsidRPr="009E465F">
        <w:rPr>
          <w:rFonts w:ascii="Times New Roman" w:hAnsi="Times New Roman"/>
          <w:lang w:eastAsia="tr-TR"/>
        </w:rPr>
        <w:t xml:space="preserve">yaşam hakkı ve </w:t>
      </w:r>
      <w:r>
        <w:rPr>
          <w:rFonts w:ascii="Times New Roman" w:hAnsi="Times New Roman"/>
          <w:lang w:eastAsia="tr-TR"/>
        </w:rPr>
        <w:t xml:space="preserve">yaşanan sağlık </w:t>
      </w:r>
      <w:r w:rsidRPr="009E465F">
        <w:rPr>
          <w:rFonts w:ascii="Times New Roman" w:hAnsi="Times New Roman"/>
          <w:lang w:eastAsia="tr-TR"/>
        </w:rPr>
        <w:t>krizi</w:t>
      </w:r>
      <w:r>
        <w:rPr>
          <w:rFonts w:ascii="Times New Roman" w:hAnsi="Times New Roman"/>
          <w:lang w:eastAsia="tr-TR"/>
        </w:rPr>
        <w:t xml:space="preserve">ni </w:t>
      </w:r>
      <w:r w:rsidRPr="009E465F">
        <w:rPr>
          <w:rFonts w:ascii="Times New Roman" w:hAnsi="Times New Roman"/>
          <w:lang w:eastAsia="tr-TR"/>
        </w:rPr>
        <w:t>etkin bir şekilde sona erdirme gerekliliği</w:t>
      </w:r>
      <w:r>
        <w:rPr>
          <w:rFonts w:ascii="Times New Roman" w:hAnsi="Times New Roman"/>
          <w:lang w:eastAsia="tr-TR"/>
        </w:rPr>
        <w:t xml:space="preserve"> dururken, diğer tarafta uygulanan politikaların demokratik ilkelere uygunluğu yer</w:t>
      </w:r>
      <w:r w:rsidR="004D289D">
        <w:rPr>
          <w:rFonts w:ascii="Times New Roman" w:hAnsi="Times New Roman"/>
          <w:lang w:eastAsia="tr-TR"/>
        </w:rPr>
        <w:t xml:space="preserve"> aldı.</w:t>
      </w:r>
      <w:r>
        <w:rPr>
          <w:rFonts w:ascii="Times New Roman" w:hAnsi="Times New Roman"/>
          <w:lang w:eastAsia="tr-TR"/>
        </w:rPr>
        <w:t xml:space="preserve"> Hemen her ülkede tartışmaların bu kapsamda yürüdüğünü görmek mümkün. Öyle ki, </w:t>
      </w:r>
      <w:r w:rsidR="00FB3B85" w:rsidRPr="00FB3B85">
        <w:rPr>
          <w:rFonts w:ascii="Times New Roman" w:hAnsi="Times New Roman"/>
          <w:lang w:eastAsia="tr-TR"/>
        </w:rPr>
        <w:t xml:space="preserve">Avrupa Konseyi Genel Sekreteri </w:t>
      </w:r>
      <w:proofErr w:type="spellStart"/>
      <w:r w:rsidR="00FB3B85" w:rsidRPr="00FB3B85">
        <w:rPr>
          <w:rFonts w:ascii="Times New Roman" w:hAnsi="Times New Roman"/>
          <w:i/>
          <w:iCs/>
          <w:lang w:eastAsia="tr-TR"/>
        </w:rPr>
        <w:t>Marija</w:t>
      </w:r>
      <w:proofErr w:type="spellEnd"/>
      <w:r w:rsidR="00FB3B85" w:rsidRPr="00FB3B85">
        <w:rPr>
          <w:rFonts w:ascii="Times New Roman" w:hAnsi="Times New Roman"/>
          <w:i/>
          <w:iCs/>
          <w:lang w:eastAsia="tr-TR"/>
        </w:rPr>
        <w:t xml:space="preserve"> </w:t>
      </w:r>
      <w:proofErr w:type="spellStart"/>
      <w:r w:rsidR="00FB3B85" w:rsidRPr="00FB3B85">
        <w:rPr>
          <w:rFonts w:ascii="Times New Roman" w:hAnsi="Times New Roman"/>
          <w:i/>
          <w:iCs/>
          <w:lang w:eastAsia="tr-TR"/>
        </w:rPr>
        <w:t>Pejcinovic</w:t>
      </w:r>
      <w:proofErr w:type="spellEnd"/>
      <w:r w:rsidR="00FB3B85" w:rsidRPr="00FB3B85">
        <w:rPr>
          <w:rFonts w:ascii="Times New Roman" w:hAnsi="Times New Roman"/>
          <w:i/>
          <w:iCs/>
          <w:lang w:eastAsia="tr-TR"/>
        </w:rPr>
        <w:t xml:space="preserve"> </w:t>
      </w:r>
      <w:proofErr w:type="spellStart"/>
      <w:r w:rsidR="00FB3B85" w:rsidRPr="00FB3B85">
        <w:rPr>
          <w:rFonts w:ascii="Times New Roman" w:hAnsi="Times New Roman"/>
          <w:i/>
          <w:iCs/>
          <w:lang w:eastAsia="tr-TR"/>
        </w:rPr>
        <w:t>Buric</w:t>
      </w:r>
      <w:proofErr w:type="spellEnd"/>
      <w:r w:rsidR="00FB3B85" w:rsidRPr="00FB3B85">
        <w:rPr>
          <w:rFonts w:ascii="Times New Roman" w:hAnsi="Times New Roman"/>
          <w:lang w:eastAsia="tr-TR"/>
        </w:rPr>
        <w:t xml:space="preserve"> </w:t>
      </w:r>
      <w:r w:rsidR="005C04A0">
        <w:rPr>
          <w:rFonts w:ascii="Times New Roman" w:hAnsi="Times New Roman"/>
          <w:lang w:eastAsia="tr-TR"/>
        </w:rPr>
        <w:t xml:space="preserve">de </w:t>
      </w:r>
      <w:r w:rsidR="005C04A0" w:rsidRPr="00FB3B85">
        <w:rPr>
          <w:rFonts w:ascii="Times New Roman" w:hAnsi="Times New Roman"/>
          <w:lang w:eastAsia="tr-TR"/>
        </w:rPr>
        <w:t>ülkelerin uygulamaları ve yeni yürürlüğe koydukları normlar</w:t>
      </w:r>
      <w:r w:rsidR="005C04A0">
        <w:rPr>
          <w:rFonts w:ascii="Times New Roman" w:hAnsi="Times New Roman"/>
          <w:lang w:eastAsia="tr-TR"/>
        </w:rPr>
        <w:t xml:space="preserve"> nedeniyle 47 </w:t>
      </w:r>
      <w:r w:rsidR="00FB3B85" w:rsidRPr="00FB3B85">
        <w:rPr>
          <w:rFonts w:ascii="Times New Roman" w:hAnsi="Times New Roman"/>
          <w:lang w:eastAsia="tr-TR"/>
        </w:rPr>
        <w:t xml:space="preserve">üye devlete yönelik </w:t>
      </w:r>
      <w:r>
        <w:rPr>
          <w:rFonts w:ascii="Times New Roman" w:hAnsi="Times New Roman"/>
          <w:lang w:eastAsia="tr-TR"/>
        </w:rPr>
        <w:t xml:space="preserve">hazırladığı ve yayınladığı </w:t>
      </w:r>
      <w:r w:rsidR="005C04A0">
        <w:rPr>
          <w:rFonts w:ascii="Times New Roman" w:hAnsi="Times New Roman"/>
          <w:lang w:eastAsia="tr-TR"/>
        </w:rPr>
        <w:t xml:space="preserve">kılavuzda bu ilkeleri hatırlatmayı </w:t>
      </w:r>
      <w:r w:rsidR="005C04A0" w:rsidRPr="00FB3B85">
        <w:rPr>
          <w:rFonts w:ascii="Times New Roman" w:hAnsi="Times New Roman"/>
          <w:lang w:eastAsia="tr-TR"/>
        </w:rPr>
        <w:t>ama</w:t>
      </w:r>
      <w:r w:rsidR="005C04A0">
        <w:rPr>
          <w:rFonts w:ascii="Times New Roman" w:hAnsi="Times New Roman"/>
          <w:lang w:eastAsia="tr-TR"/>
        </w:rPr>
        <w:t>çla</w:t>
      </w:r>
      <w:r w:rsidR="004D289D">
        <w:rPr>
          <w:rFonts w:ascii="Times New Roman" w:hAnsi="Times New Roman"/>
          <w:lang w:eastAsia="tr-TR"/>
        </w:rPr>
        <w:t>dı</w:t>
      </w:r>
      <w:r w:rsidR="005C04A0">
        <w:rPr>
          <w:rFonts w:ascii="Times New Roman" w:hAnsi="Times New Roman"/>
          <w:lang w:eastAsia="tr-TR"/>
        </w:rPr>
        <w:t xml:space="preserve">. Kılavuz’da, </w:t>
      </w:r>
      <w:r>
        <w:rPr>
          <w:rFonts w:ascii="Times New Roman" w:hAnsi="Times New Roman"/>
          <w:lang w:eastAsia="tr-TR"/>
        </w:rPr>
        <w:t>A</w:t>
      </w:r>
      <w:r w:rsidR="00FB3B85" w:rsidRPr="00FB3B85">
        <w:rPr>
          <w:rFonts w:ascii="Times New Roman" w:hAnsi="Times New Roman"/>
          <w:lang w:eastAsia="tr-TR"/>
        </w:rPr>
        <w:t xml:space="preserve">İHS’ye </w:t>
      </w:r>
      <w:proofErr w:type="spellStart"/>
      <w:r w:rsidR="00FB3B85" w:rsidRPr="00FB3B85">
        <w:rPr>
          <w:rFonts w:ascii="Times New Roman" w:hAnsi="Times New Roman"/>
          <w:lang w:eastAsia="tr-TR"/>
        </w:rPr>
        <w:t>derogasyon</w:t>
      </w:r>
      <w:proofErr w:type="spellEnd"/>
      <w:r w:rsidR="00FB3B85" w:rsidRPr="00FB3B85">
        <w:rPr>
          <w:rFonts w:ascii="Times New Roman" w:hAnsi="Times New Roman"/>
          <w:lang w:eastAsia="tr-TR"/>
        </w:rPr>
        <w:t xml:space="preserve"> kuralları</w:t>
      </w:r>
      <w:r>
        <w:rPr>
          <w:rFonts w:ascii="Times New Roman" w:hAnsi="Times New Roman"/>
          <w:lang w:eastAsia="tr-TR"/>
        </w:rPr>
        <w:t>,</w:t>
      </w:r>
      <w:r w:rsidR="00FB3B85" w:rsidRPr="00FB3B85">
        <w:rPr>
          <w:rFonts w:ascii="Times New Roman" w:hAnsi="Times New Roman"/>
          <w:lang w:eastAsia="tr-TR"/>
        </w:rPr>
        <w:t xml:space="preserve"> olağanüstü h</w:t>
      </w:r>
      <w:r>
        <w:rPr>
          <w:rFonts w:ascii="Times New Roman" w:hAnsi="Times New Roman"/>
          <w:lang w:eastAsia="tr-TR"/>
        </w:rPr>
        <w:t>â</w:t>
      </w:r>
      <w:r w:rsidR="00FB3B85" w:rsidRPr="00FB3B85">
        <w:rPr>
          <w:rFonts w:ascii="Times New Roman" w:hAnsi="Times New Roman"/>
          <w:lang w:eastAsia="tr-TR"/>
        </w:rPr>
        <w:t xml:space="preserve">llerde hukuk devleti ve </w:t>
      </w:r>
      <w:r>
        <w:rPr>
          <w:rFonts w:ascii="Times New Roman" w:hAnsi="Times New Roman"/>
          <w:lang w:eastAsia="tr-TR"/>
        </w:rPr>
        <w:t xml:space="preserve">diğer çoğulcu </w:t>
      </w:r>
      <w:r w:rsidRPr="00FB3B85">
        <w:rPr>
          <w:rFonts w:ascii="Times New Roman" w:hAnsi="Times New Roman"/>
          <w:lang w:eastAsia="tr-TR"/>
        </w:rPr>
        <w:t xml:space="preserve">demokratik ilkelere uyum; </w:t>
      </w:r>
      <w:r w:rsidR="00FB3B85" w:rsidRPr="00FB3B85">
        <w:rPr>
          <w:rFonts w:ascii="Times New Roman" w:hAnsi="Times New Roman"/>
          <w:lang w:eastAsia="tr-TR"/>
        </w:rPr>
        <w:t>başta ifade özgürlüğü, özel yaşam</w:t>
      </w:r>
      <w:r>
        <w:rPr>
          <w:rFonts w:ascii="Times New Roman" w:hAnsi="Times New Roman"/>
          <w:lang w:eastAsia="tr-TR"/>
        </w:rPr>
        <w:t>ın gizliliği</w:t>
      </w:r>
      <w:r w:rsidR="00FB3B85" w:rsidRPr="00FB3B85">
        <w:rPr>
          <w:rFonts w:ascii="Times New Roman" w:hAnsi="Times New Roman"/>
          <w:lang w:eastAsia="tr-TR"/>
        </w:rPr>
        <w:t xml:space="preserve">, </w:t>
      </w:r>
      <w:r>
        <w:rPr>
          <w:rFonts w:ascii="Times New Roman" w:hAnsi="Times New Roman"/>
          <w:lang w:eastAsia="tr-TR"/>
        </w:rPr>
        <w:t xml:space="preserve">kişisel </w:t>
      </w:r>
      <w:r w:rsidR="00FB3B85" w:rsidRPr="00FB3B85">
        <w:rPr>
          <w:rFonts w:ascii="Times New Roman" w:hAnsi="Times New Roman"/>
          <w:lang w:eastAsia="tr-TR"/>
        </w:rPr>
        <w:t>verilerin korunması, ayrımcılıkla mücadele ve eğitim hakkı olmak üzere insan haklarına saygı; cinsiyet temelinde şiddet gibi suçlarla mücadele konularında Avrupa genelindeki müşterek normlar hatırlatıl</w:t>
      </w:r>
      <w:r w:rsidR="004D289D">
        <w:rPr>
          <w:rFonts w:ascii="Times New Roman" w:hAnsi="Times New Roman"/>
          <w:lang w:eastAsia="tr-TR"/>
        </w:rPr>
        <w:t>dı</w:t>
      </w:r>
      <w:r w:rsidR="005C04A0">
        <w:rPr>
          <w:rFonts w:ascii="Times New Roman" w:hAnsi="Times New Roman"/>
          <w:lang w:eastAsia="tr-TR"/>
        </w:rPr>
        <w:t xml:space="preserve"> ve</w:t>
      </w:r>
      <w:r w:rsidR="00FB3B85" w:rsidRPr="00FB3B85">
        <w:rPr>
          <w:rFonts w:ascii="Times New Roman" w:hAnsi="Times New Roman"/>
          <w:lang w:eastAsia="tr-TR"/>
        </w:rPr>
        <w:t xml:space="preserve"> Avrupa devletlerinin virüsle mücadele ederken bu normlar temelinde </w:t>
      </w:r>
      <w:r w:rsidR="00FB3B85" w:rsidRPr="00FB3B85">
        <w:rPr>
          <w:rFonts w:ascii="Times New Roman" w:hAnsi="Times New Roman"/>
          <w:lang w:eastAsia="tr-TR"/>
        </w:rPr>
        <w:lastRenderedPageBreak/>
        <w:t>kararlar almaları isten</w:t>
      </w:r>
      <w:r w:rsidR="004D289D">
        <w:rPr>
          <w:rFonts w:ascii="Times New Roman" w:hAnsi="Times New Roman"/>
          <w:lang w:eastAsia="tr-TR"/>
        </w:rPr>
        <w:t>di</w:t>
      </w:r>
      <w:r w:rsidR="005C04A0">
        <w:rPr>
          <w:rStyle w:val="FootnoteReference"/>
          <w:rFonts w:ascii="Times New Roman" w:hAnsi="Times New Roman"/>
          <w:lang w:eastAsia="tr-TR"/>
        </w:rPr>
        <w:footnoteReference w:id="5"/>
      </w:r>
      <w:r w:rsidR="00FB3B85" w:rsidRPr="00FB3B85">
        <w:rPr>
          <w:rFonts w:ascii="Times New Roman" w:hAnsi="Times New Roman"/>
          <w:lang w:eastAsia="tr-TR"/>
        </w:rPr>
        <w:t>.</w:t>
      </w:r>
      <w:r w:rsidR="005C04A0">
        <w:rPr>
          <w:rFonts w:ascii="Times New Roman" w:hAnsi="Times New Roman"/>
          <w:lang w:eastAsia="tr-TR"/>
        </w:rPr>
        <w:t xml:space="preserve"> Yine, Venedik Komisyonu da benzer gerekçelerle yayınladığı raporunda; demokratik ilkelere, istisna hâllerine ve kriz dönemlerinde alınan önlemlerin de hukuk devleti ve çoğulcu demokratik ilkelerle uyum içinde olmasının büyük öneme sahip olduğuna yer ver</w:t>
      </w:r>
      <w:r w:rsidR="004D289D">
        <w:rPr>
          <w:rFonts w:ascii="Times New Roman" w:hAnsi="Times New Roman"/>
          <w:lang w:eastAsia="tr-TR"/>
        </w:rPr>
        <w:t>di</w:t>
      </w:r>
      <w:r w:rsidR="005C04A0">
        <w:rPr>
          <w:rFonts w:ascii="Times New Roman" w:hAnsi="Times New Roman"/>
          <w:lang w:eastAsia="tr-TR"/>
        </w:rPr>
        <w:t xml:space="preserve">. </w:t>
      </w:r>
      <w:proofErr w:type="spellStart"/>
      <w:r w:rsidR="005C04A0">
        <w:rPr>
          <w:rFonts w:ascii="Times New Roman" w:hAnsi="Times New Roman"/>
          <w:lang w:eastAsia="tr-TR"/>
        </w:rPr>
        <w:t>Rapor’a</w:t>
      </w:r>
      <w:proofErr w:type="spellEnd"/>
      <w:r w:rsidR="005C04A0">
        <w:rPr>
          <w:rFonts w:ascii="Times New Roman" w:hAnsi="Times New Roman"/>
          <w:lang w:eastAsia="tr-TR"/>
        </w:rPr>
        <w:t xml:space="preserve"> göre, devletler tarafından o</w:t>
      </w:r>
      <w:r w:rsidR="005C04A0" w:rsidRPr="005C04A0">
        <w:rPr>
          <w:rFonts w:ascii="Times New Roman" w:hAnsi="Times New Roman"/>
          <w:lang w:eastAsia="tr-TR"/>
        </w:rPr>
        <w:t>lağanüstü h</w:t>
      </w:r>
      <w:r w:rsidR="005C04A0">
        <w:rPr>
          <w:rFonts w:ascii="Times New Roman" w:hAnsi="Times New Roman"/>
          <w:lang w:eastAsia="tr-TR"/>
        </w:rPr>
        <w:t>â</w:t>
      </w:r>
      <w:r w:rsidR="005C04A0" w:rsidRPr="005C04A0">
        <w:rPr>
          <w:rFonts w:ascii="Times New Roman" w:hAnsi="Times New Roman"/>
          <w:lang w:eastAsia="tr-TR"/>
        </w:rPr>
        <w:t xml:space="preserve">l </w:t>
      </w:r>
      <w:r w:rsidR="00DC69C5">
        <w:rPr>
          <w:rFonts w:ascii="Times New Roman" w:hAnsi="Times New Roman"/>
          <w:lang w:eastAsia="tr-TR"/>
        </w:rPr>
        <w:t xml:space="preserve">veya eşdeğeri bir acil durum uygulaması </w:t>
      </w:r>
      <w:r w:rsidR="005C04A0">
        <w:rPr>
          <w:rFonts w:ascii="Times New Roman" w:hAnsi="Times New Roman"/>
          <w:lang w:eastAsia="tr-TR"/>
        </w:rPr>
        <w:t xml:space="preserve">yoluyla olsun ya da olmasın, </w:t>
      </w:r>
      <w:r w:rsidR="005C04A0" w:rsidRPr="005C04A0">
        <w:rPr>
          <w:rFonts w:ascii="Times New Roman" w:hAnsi="Times New Roman"/>
          <w:lang w:eastAsia="tr-TR"/>
        </w:rPr>
        <w:t>Covid-19 krizini ele almak için atılan tüm adımlar</w:t>
      </w:r>
      <w:r w:rsidR="00DC69C5">
        <w:rPr>
          <w:rFonts w:ascii="Times New Roman" w:hAnsi="Times New Roman"/>
          <w:lang w:eastAsia="tr-TR"/>
        </w:rPr>
        <w:t xml:space="preserve">, </w:t>
      </w:r>
      <w:r w:rsidR="005C04A0" w:rsidRPr="005C04A0">
        <w:rPr>
          <w:rFonts w:ascii="Times New Roman" w:hAnsi="Times New Roman"/>
          <w:lang w:eastAsia="tr-TR"/>
        </w:rPr>
        <w:t>demokrasi</w:t>
      </w:r>
      <w:r w:rsidR="005C04A0">
        <w:rPr>
          <w:rFonts w:ascii="Times New Roman" w:hAnsi="Times New Roman"/>
          <w:lang w:eastAsia="tr-TR"/>
        </w:rPr>
        <w:t xml:space="preserve">, </w:t>
      </w:r>
      <w:r w:rsidR="005C04A0" w:rsidRPr="005C04A0">
        <w:rPr>
          <w:rFonts w:ascii="Times New Roman" w:hAnsi="Times New Roman"/>
          <w:lang w:eastAsia="tr-TR"/>
        </w:rPr>
        <w:t xml:space="preserve">hukukun üstünlüğü </w:t>
      </w:r>
      <w:r w:rsidR="005C04A0">
        <w:rPr>
          <w:rFonts w:ascii="Times New Roman" w:hAnsi="Times New Roman"/>
          <w:lang w:eastAsia="tr-TR"/>
        </w:rPr>
        <w:t>ilkesi ve insan hakları üzerinde</w:t>
      </w:r>
      <w:r w:rsidR="005C04A0" w:rsidRPr="005C04A0">
        <w:rPr>
          <w:rFonts w:ascii="Times New Roman" w:hAnsi="Times New Roman"/>
          <w:lang w:eastAsia="tr-TR"/>
        </w:rPr>
        <w:t xml:space="preserve"> az veya çok etki</w:t>
      </w:r>
      <w:r w:rsidR="005C04A0">
        <w:rPr>
          <w:rFonts w:ascii="Times New Roman" w:hAnsi="Times New Roman"/>
          <w:lang w:eastAsia="tr-TR"/>
        </w:rPr>
        <w:t xml:space="preserve"> doğur</w:t>
      </w:r>
      <w:r w:rsidR="00DC69C5">
        <w:rPr>
          <w:rFonts w:ascii="Times New Roman" w:hAnsi="Times New Roman"/>
          <w:lang w:eastAsia="tr-TR"/>
        </w:rPr>
        <w:t>maktadır</w:t>
      </w:r>
      <w:r w:rsidR="005C04A0">
        <w:rPr>
          <w:rStyle w:val="FootnoteReference"/>
          <w:rFonts w:ascii="Times New Roman" w:hAnsi="Times New Roman"/>
          <w:lang w:eastAsia="tr-TR"/>
        </w:rPr>
        <w:footnoteReference w:id="6"/>
      </w:r>
      <w:r w:rsidR="005C04A0" w:rsidRPr="005C04A0">
        <w:rPr>
          <w:rFonts w:ascii="Times New Roman" w:hAnsi="Times New Roman"/>
          <w:lang w:eastAsia="tr-TR"/>
        </w:rPr>
        <w:t>.</w:t>
      </w:r>
      <w:r w:rsidR="00DC69C5">
        <w:rPr>
          <w:rFonts w:ascii="Times New Roman" w:hAnsi="Times New Roman"/>
          <w:lang w:eastAsia="tr-TR"/>
        </w:rPr>
        <w:t xml:space="preserve"> Bu çerçevede, eğer olağanüstü hâl uygulamasına yer verilecekse bu durumda dahi</w:t>
      </w:r>
      <w:r w:rsidR="00DC69C5" w:rsidRPr="00DC69C5">
        <w:rPr>
          <w:rFonts w:ascii="Times New Roman" w:hAnsi="Times New Roman"/>
          <w:lang w:eastAsia="tr-TR"/>
        </w:rPr>
        <w:t xml:space="preserve"> hukukun üstünlüğü </w:t>
      </w:r>
      <w:r w:rsidR="00DC69C5">
        <w:rPr>
          <w:rFonts w:ascii="Times New Roman" w:hAnsi="Times New Roman"/>
          <w:lang w:eastAsia="tr-TR"/>
        </w:rPr>
        <w:t xml:space="preserve">ilkesinin </w:t>
      </w:r>
      <w:r w:rsidR="00DC69C5" w:rsidRPr="00DC69C5">
        <w:rPr>
          <w:rFonts w:ascii="Times New Roman" w:hAnsi="Times New Roman"/>
          <w:lang w:eastAsia="tr-TR"/>
        </w:rPr>
        <w:t>geçerli olm</w:t>
      </w:r>
      <w:r w:rsidR="00DC69C5">
        <w:rPr>
          <w:rFonts w:ascii="Times New Roman" w:hAnsi="Times New Roman"/>
          <w:lang w:eastAsia="tr-TR"/>
        </w:rPr>
        <w:t xml:space="preserve">ası gerektiğine ve bu ilkenin de </w:t>
      </w:r>
      <w:r w:rsidR="00DC69C5" w:rsidRPr="00DC69C5">
        <w:rPr>
          <w:rFonts w:ascii="Times New Roman" w:hAnsi="Times New Roman"/>
          <w:lang w:eastAsia="tr-TR"/>
        </w:rPr>
        <w:t>yasallık,</w:t>
      </w:r>
      <w:r w:rsidR="00DC69C5">
        <w:rPr>
          <w:rFonts w:ascii="Times New Roman" w:hAnsi="Times New Roman"/>
          <w:lang w:eastAsia="tr-TR"/>
        </w:rPr>
        <w:t xml:space="preserve"> </w:t>
      </w:r>
      <w:r w:rsidR="00DC69C5" w:rsidRPr="00DC69C5">
        <w:rPr>
          <w:rFonts w:ascii="Times New Roman" w:hAnsi="Times New Roman"/>
          <w:lang w:eastAsia="tr-TR"/>
        </w:rPr>
        <w:t>hukuki</w:t>
      </w:r>
      <w:r w:rsidR="00DC69C5">
        <w:rPr>
          <w:rFonts w:ascii="Times New Roman" w:hAnsi="Times New Roman"/>
          <w:lang w:eastAsia="tr-TR"/>
        </w:rPr>
        <w:t xml:space="preserve"> </w:t>
      </w:r>
      <w:r w:rsidR="00DC69C5" w:rsidRPr="00DC69C5">
        <w:rPr>
          <w:rFonts w:ascii="Times New Roman" w:hAnsi="Times New Roman"/>
          <w:lang w:eastAsia="tr-TR"/>
        </w:rPr>
        <w:t>kesinlik,</w:t>
      </w:r>
      <w:r w:rsidR="00DC69C5">
        <w:rPr>
          <w:rFonts w:ascii="Times New Roman" w:hAnsi="Times New Roman"/>
          <w:lang w:eastAsia="tr-TR"/>
        </w:rPr>
        <w:t xml:space="preserve"> </w:t>
      </w:r>
      <w:r w:rsidR="00DC69C5" w:rsidRPr="00DC69C5">
        <w:rPr>
          <w:rFonts w:ascii="Times New Roman" w:hAnsi="Times New Roman"/>
          <w:lang w:eastAsia="tr-TR"/>
        </w:rPr>
        <w:t>yetkilerin kötüye kullanılmasının önlenmesi, kanun önünde eşitli</w:t>
      </w:r>
      <w:r w:rsidR="00DC69C5">
        <w:rPr>
          <w:rFonts w:ascii="Times New Roman" w:hAnsi="Times New Roman"/>
          <w:lang w:eastAsia="tr-TR"/>
        </w:rPr>
        <w:t>k,</w:t>
      </w:r>
      <w:r w:rsidR="00DC69C5" w:rsidRPr="00DC69C5">
        <w:rPr>
          <w:rFonts w:ascii="Times New Roman" w:hAnsi="Times New Roman"/>
          <w:lang w:eastAsia="tr-TR"/>
        </w:rPr>
        <w:t xml:space="preserve"> ayrımcılık yapmama ve adalete erişim</w:t>
      </w:r>
      <w:r w:rsidR="00DC69C5">
        <w:rPr>
          <w:rFonts w:ascii="Times New Roman" w:hAnsi="Times New Roman"/>
          <w:lang w:eastAsia="tr-TR"/>
        </w:rPr>
        <w:t xml:space="preserve"> hakkının sağlanması gibi alt ilkelerden oluştuğuna dikkat çekilmiştir</w:t>
      </w:r>
      <w:r w:rsidR="00DC69C5">
        <w:rPr>
          <w:rStyle w:val="FootnoteReference"/>
          <w:rFonts w:ascii="Times New Roman" w:hAnsi="Times New Roman"/>
          <w:lang w:eastAsia="tr-TR"/>
        </w:rPr>
        <w:footnoteReference w:id="7"/>
      </w:r>
      <w:r w:rsidR="00DC69C5">
        <w:rPr>
          <w:rFonts w:ascii="Times New Roman" w:hAnsi="Times New Roman"/>
          <w:lang w:eastAsia="tr-TR"/>
        </w:rPr>
        <w:t>.</w:t>
      </w:r>
      <w:r w:rsidR="009C7288">
        <w:rPr>
          <w:rFonts w:ascii="Times New Roman" w:hAnsi="Times New Roman"/>
          <w:lang w:eastAsia="tr-TR"/>
        </w:rPr>
        <w:t xml:space="preserve"> Buna bağlı olarak, </w:t>
      </w:r>
      <w:r w:rsidR="00DC69C5">
        <w:rPr>
          <w:rFonts w:ascii="Times New Roman" w:hAnsi="Times New Roman"/>
          <w:lang w:eastAsia="tr-TR"/>
        </w:rPr>
        <w:t>alınan önlemler</w:t>
      </w:r>
      <w:r w:rsidR="009C7288">
        <w:rPr>
          <w:rFonts w:ascii="Times New Roman" w:hAnsi="Times New Roman"/>
          <w:lang w:eastAsia="tr-TR"/>
        </w:rPr>
        <w:t xml:space="preserve">de </w:t>
      </w:r>
      <w:r w:rsidR="00DC69C5">
        <w:rPr>
          <w:rFonts w:ascii="Times New Roman" w:hAnsi="Times New Roman"/>
          <w:lang w:eastAsia="tr-TR"/>
        </w:rPr>
        <w:t>ve kararlar</w:t>
      </w:r>
      <w:r w:rsidR="009C7288">
        <w:rPr>
          <w:rFonts w:ascii="Times New Roman" w:hAnsi="Times New Roman"/>
          <w:lang w:eastAsia="tr-TR"/>
        </w:rPr>
        <w:t xml:space="preserve">da orantılılık ilkesine uygun hareket edilmeli ve bu kararlar </w:t>
      </w:r>
      <w:r w:rsidR="00DC69C5">
        <w:rPr>
          <w:rFonts w:ascii="Times New Roman" w:hAnsi="Times New Roman"/>
          <w:lang w:eastAsia="tr-TR"/>
        </w:rPr>
        <w:t>anayasaya uygunluk denetimine tâbi tutulma</w:t>
      </w:r>
      <w:r w:rsidR="009C7288">
        <w:rPr>
          <w:rFonts w:ascii="Times New Roman" w:hAnsi="Times New Roman"/>
          <w:lang w:eastAsia="tr-TR"/>
        </w:rPr>
        <w:t>lıdır</w:t>
      </w:r>
      <w:r w:rsidR="009C7288">
        <w:rPr>
          <w:rStyle w:val="FootnoteReference"/>
          <w:rFonts w:ascii="Times New Roman" w:hAnsi="Times New Roman"/>
          <w:lang w:eastAsia="tr-TR"/>
        </w:rPr>
        <w:footnoteReference w:id="8"/>
      </w:r>
      <w:r w:rsidR="009C7288">
        <w:rPr>
          <w:rFonts w:ascii="Times New Roman" w:hAnsi="Times New Roman"/>
          <w:lang w:eastAsia="tr-TR"/>
        </w:rPr>
        <w:t>.</w:t>
      </w:r>
    </w:p>
    <w:p w14:paraId="11CB6D4B" w14:textId="02AE5AC6" w:rsidR="00A0382F" w:rsidRDefault="005C04A0" w:rsidP="00503EB4">
      <w:pPr>
        <w:jc w:val="both"/>
        <w:rPr>
          <w:rFonts w:ascii="Times New Roman" w:hAnsi="Times New Roman"/>
          <w:lang w:eastAsia="tr-TR"/>
        </w:rPr>
      </w:pPr>
      <w:r>
        <w:rPr>
          <w:rFonts w:ascii="Times New Roman" w:hAnsi="Times New Roman"/>
          <w:lang w:eastAsia="tr-TR"/>
        </w:rPr>
        <w:tab/>
      </w:r>
      <w:r w:rsidR="009C7288">
        <w:rPr>
          <w:rFonts w:ascii="Times New Roman" w:hAnsi="Times New Roman"/>
          <w:lang w:eastAsia="tr-TR"/>
        </w:rPr>
        <w:t>Hukuki-rasyonel bir otoritede hukuk, siyasi iktidarı meşrulaştırma aracıdır.</w:t>
      </w:r>
      <w:r w:rsidR="009C7288" w:rsidRPr="009C7288">
        <w:rPr>
          <w:rFonts w:ascii="Times New Roman" w:hAnsi="Times New Roman"/>
          <w:lang w:eastAsia="tr-TR"/>
        </w:rPr>
        <w:t xml:space="preserve"> </w:t>
      </w:r>
      <w:r w:rsidR="009C7288">
        <w:rPr>
          <w:rFonts w:ascii="Times New Roman" w:hAnsi="Times New Roman"/>
          <w:lang w:eastAsia="tr-TR"/>
        </w:rPr>
        <w:t xml:space="preserve">Buna karşın, siyasi iktidar kendi meşruluğunu sağlayabilmek, yeniden kurabilmek veya sağlamlaştırabilmek için hukuku kendisi bir araç olarak kullandığında hukuk devleti ilkesinin sarsılması söz konusu olur. Gerçekten de hukuk devleti yalnızca yasaya değil bunun yanında birtakım evrensel ilkelere de dayanır. Bu nedenle, </w:t>
      </w:r>
      <w:r w:rsidR="00502249">
        <w:rPr>
          <w:rFonts w:ascii="Times New Roman" w:hAnsi="Times New Roman"/>
          <w:lang w:eastAsia="tr-TR"/>
        </w:rPr>
        <w:t xml:space="preserve">siyasal </w:t>
      </w:r>
      <w:r w:rsidR="00502249" w:rsidRPr="00896254">
        <w:rPr>
          <w:rFonts w:ascii="Times New Roman" w:hAnsi="Times New Roman"/>
          <w:lang w:eastAsia="tr-TR"/>
        </w:rPr>
        <w:t xml:space="preserve">iktidar ve hukuk arasındaki </w:t>
      </w:r>
      <w:r w:rsidR="00502249">
        <w:rPr>
          <w:rFonts w:ascii="Times New Roman" w:hAnsi="Times New Roman"/>
          <w:lang w:eastAsia="tr-TR"/>
        </w:rPr>
        <w:t xml:space="preserve">bu </w:t>
      </w:r>
      <w:proofErr w:type="spellStart"/>
      <w:r w:rsidR="00502249">
        <w:rPr>
          <w:rFonts w:ascii="Times New Roman" w:hAnsi="Times New Roman"/>
          <w:lang w:eastAsia="tr-TR"/>
        </w:rPr>
        <w:t>araçsal</w:t>
      </w:r>
      <w:proofErr w:type="spellEnd"/>
      <w:r w:rsidR="00502249">
        <w:rPr>
          <w:rFonts w:ascii="Times New Roman" w:hAnsi="Times New Roman"/>
          <w:lang w:eastAsia="tr-TR"/>
        </w:rPr>
        <w:t xml:space="preserve"> ilişkinin ve </w:t>
      </w:r>
      <w:proofErr w:type="spellStart"/>
      <w:r w:rsidR="009C7288">
        <w:rPr>
          <w:rFonts w:ascii="Times New Roman" w:hAnsi="Times New Roman"/>
          <w:lang w:eastAsia="tr-TR"/>
        </w:rPr>
        <w:t>a</w:t>
      </w:r>
      <w:r w:rsidR="009C7288" w:rsidRPr="00896254">
        <w:rPr>
          <w:rFonts w:ascii="Times New Roman" w:hAnsi="Times New Roman"/>
          <w:lang w:eastAsia="tr-TR"/>
        </w:rPr>
        <w:t>raçsal</w:t>
      </w:r>
      <w:proofErr w:type="spellEnd"/>
      <w:r w:rsidR="009C7288" w:rsidRPr="00896254">
        <w:rPr>
          <w:rFonts w:ascii="Times New Roman" w:hAnsi="Times New Roman"/>
          <w:lang w:eastAsia="tr-TR"/>
        </w:rPr>
        <w:t xml:space="preserve"> hukuk anlayış</w:t>
      </w:r>
      <w:r w:rsidR="009C7288">
        <w:rPr>
          <w:rFonts w:ascii="Times New Roman" w:hAnsi="Times New Roman"/>
          <w:lang w:eastAsia="tr-TR"/>
        </w:rPr>
        <w:t xml:space="preserve">ının bir sonucu olan </w:t>
      </w:r>
      <w:r w:rsidR="00502249">
        <w:rPr>
          <w:rFonts w:ascii="Times New Roman" w:hAnsi="Times New Roman"/>
          <w:lang w:eastAsia="tr-TR"/>
        </w:rPr>
        <w:t xml:space="preserve">söz konusu </w:t>
      </w:r>
      <w:proofErr w:type="spellStart"/>
      <w:r w:rsidR="00502249" w:rsidRPr="009C7288">
        <w:rPr>
          <w:rFonts w:ascii="Times New Roman" w:hAnsi="Times New Roman"/>
          <w:i/>
          <w:iCs/>
          <w:lang w:eastAsia="tr-TR"/>
        </w:rPr>
        <w:t>Hobbesvari</w:t>
      </w:r>
      <w:proofErr w:type="spellEnd"/>
      <w:r w:rsidR="00502249">
        <w:rPr>
          <w:rFonts w:ascii="Times New Roman" w:hAnsi="Times New Roman"/>
          <w:lang w:eastAsia="tr-TR"/>
        </w:rPr>
        <w:t xml:space="preserve"> </w:t>
      </w:r>
      <w:r w:rsidR="009C7288">
        <w:rPr>
          <w:rFonts w:ascii="Times New Roman" w:hAnsi="Times New Roman"/>
          <w:lang w:eastAsia="tr-TR"/>
        </w:rPr>
        <w:t xml:space="preserve">yaklaşımların </w:t>
      </w:r>
      <w:r w:rsidR="009C7288" w:rsidRPr="00896254">
        <w:rPr>
          <w:rFonts w:ascii="Times New Roman" w:hAnsi="Times New Roman"/>
          <w:lang w:eastAsia="tr-TR"/>
        </w:rPr>
        <w:t>hukukun üstünlüğü</w:t>
      </w:r>
      <w:r w:rsidR="009C7288">
        <w:rPr>
          <w:rFonts w:ascii="Times New Roman" w:hAnsi="Times New Roman"/>
          <w:lang w:eastAsia="tr-TR"/>
        </w:rPr>
        <w:t xml:space="preserve"> ilkesini tehdit ettiğini söylemek </w:t>
      </w:r>
      <w:r w:rsidR="00502249">
        <w:rPr>
          <w:rFonts w:ascii="Times New Roman" w:hAnsi="Times New Roman"/>
          <w:lang w:eastAsia="tr-TR"/>
        </w:rPr>
        <w:t>gerekir</w:t>
      </w:r>
      <w:r w:rsidR="009C7288">
        <w:rPr>
          <w:rStyle w:val="FootnoteReference"/>
          <w:rFonts w:ascii="Times New Roman" w:hAnsi="Times New Roman"/>
          <w:lang w:eastAsia="tr-TR"/>
        </w:rPr>
        <w:footnoteReference w:id="9"/>
      </w:r>
      <w:r w:rsidR="00502249">
        <w:rPr>
          <w:rFonts w:ascii="Times New Roman" w:hAnsi="Times New Roman"/>
          <w:lang w:eastAsia="tr-TR"/>
        </w:rPr>
        <w:t>.</w:t>
      </w:r>
      <w:r w:rsidR="009C7288">
        <w:rPr>
          <w:rFonts w:ascii="Times New Roman" w:hAnsi="Times New Roman"/>
          <w:lang w:eastAsia="tr-TR"/>
        </w:rPr>
        <w:t xml:space="preserve"> </w:t>
      </w:r>
      <w:r w:rsidR="00502249">
        <w:rPr>
          <w:rFonts w:ascii="Times New Roman" w:hAnsi="Times New Roman"/>
          <w:lang w:eastAsia="tr-TR"/>
        </w:rPr>
        <w:t>Hatta, belki bir adım ileri giderek, k</w:t>
      </w:r>
      <w:r w:rsidR="00A0382F" w:rsidRPr="00A0382F">
        <w:rPr>
          <w:rFonts w:ascii="Times New Roman" w:hAnsi="Times New Roman"/>
          <w:lang w:eastAsia="tr-TR"/>
        </w:rPr>
        <w:t>riz ve istisna h</w:t>
      </w:r>
      <w:r w:rsidR="00502249">
        <w:rPr>
          <w:rFonts w:ascii="Times New Roman" w:hAnsi="Times New Roman"/>
          <w:lang w:eastAsia="tr-TR"/>
        </w:rPr>
        <w:t>â</w:t>
      </w:r>
      <w:r w:rsidR="00A0382F" w:rsidRPr="00A0382F">
        <w:rPr>
          <w:rFonts w:ascii="Times New Roman" w:hAnsi="Times New Roman"/>
          <w:lang w:eastAsia="tr-TR"/>
        </w:rPr>
        <w:t>linin modern devletlerin yaşamında egemen</w:t>
      </w:r>
      <w:r w:rsidR="00F96F49">
        <w:rPr>
          <w:rFonts w:ascii="Times New Roman" w:hAnsi="Times New Roman"/>
          <w:lang w:eastAsia="tr-TR"/>
        </w:rPr>
        <w:t xml:space="preserve"> </w:t>
      </w:r>
      <w:r w:rsidR="00A0382F" w:rsidRPr="00A0382F">
        <w:rPr>
          <w:rFonts w:ascii="Times New Roman" w:hAnsi="Times New Roman"/>
          <w:lang w:eastAsia="tr-TR"/>
        </w:rPr>
        <w:t>sınıflar tarafından sürekli başvurulan bir araç h</w:t>
      </w:r>
      <w:r w:rsidR="00502249">
        <w:rPr>
          <w:rFonts w:ascii="Times New Roman" w:hAnsi="Times New Roman"/>
          <w:lang w:eastAsia="tr-TR"/>
        </w:rPr>
        <w:t>â</w:t>
      </w:r>
      <w:r w:rsidR="00A0382F" w:rsidRPr="00A0382F">
        <w:rPr>
          <w:rFonts w:ascii="Times New Roman" w:hAnsi="Times New Roman"/>
          <w:lang w:eastAsia="tr-TR"/>
        </w:rPr>
        <w:t xml:space="preserve">line geldiğini </w:t>
      </w:r>
      <w:r w:rsidR="00502249">
        <w:rPr>
          <w:rFonts w:ascii="Times New Roman" w:hAnsi="Times New Roman"/>
          <w:lang w:eastAsia="tr-TR"/>
        </w:rPr>
        <w:t xml:space="preserve">ve </w:t>
      </w:r>
      <w:r w:rsidR="00A0382F" w:rsidRPr="00A0382F">
        <w:rPr>
          <w:rFonts w:ascii="Times New Roman" w:hAnsi="Times New Roman"/>
          <w:lang w:eastAsia="tr-TR"/>
        </w:rPr>
        <w:t>bu durumun “kötü yönetim ve hatta kriz yönetimi”</w:t>
      </w:r>
      <w:r w:rsidR="00502249">
        <w:rPr>
          <w:rFonts w:ascii="Times New Roman" w:hAnsi="Times New Roman"/>
          <w:lang w:eastAsia="tr-TR"/>
        </w:rPr>
        <w:t xml:space="preserve"> </w:t>
      </w:r>
      <w:r w:rsidR="00A0382F" w:rsidRPr="00A0382F">
        <w:rPr>
          <w:rFonts w:ascii="Times New Roman" w:hAnsi="Times New Roman"/>
          <w:lang w:eastAsia="tr-TR"/>
        </w:rPr>
        <w:t>olarak</w:t>
      </w:r>
      <w:r w:rsidR="009C7288">
        <w:rPr>
          <w:rFonts w:ascii="Times New Roman" w:hAnsi="Times New Roman"/>
          <w:lang w:eastAsia="tr-TR"/>
        </w:rPr>
        <w:t xml:space="preserve"> </w:t>
      </w:r>
      <w:r w:rsidR="00A0382F" w:rsidRPr="00A0382F">
        <w:rPr>
          <w:rFonts w:ascii="Times New Roman" w:hAnsi="Times New Roman"/>
          <w:lang w:eastAsia="tr-TR"/>
        </w:rPr>
        <w:t>adlandırılamayacağını</w:t>
      </w:r>
      <w:r w:rsidR="00502249">
        <w:rPr>
          <w:rFonts w:ascii="Times New Roman" w:hAnsi="Times New Roman"/>
          <w:lang w:eastAsia="tr-TR"/>
        </w:rPr>
        <w:t xml:space="preserve">, </w:t>
      </w:r>
      <w:r w:rsidR="00A0382F" w:rsidRPr="00A0382F">
        <w:rPr>
          <w:rFonts w:ascii="Times New Roman" w:hAnsi="Times New Roman"/>
          <w:lang w:eastAsia="tr-TR"/>
        </w:rPr>
        <w:t>daha ziyade modern kapitalist devletin günlük siyasal yönetiminin veya normal işleyişinin bir parçası olduğunu vurgul</w:t>
      </w:r>
      <w:r w:rsidR="00502249">
        <w:rPr>
          <w:rFonts w:ascii="Times New Roman" w:hAnsi="Times New Roman"/>
          <w:lang w:eastAsia="tr-TR"/>
        </w:rPr>
        <w:t xml:space="preserve">ayan görüşlere </w:t>
      </w:r>
      <w:r w:rsidR="004D289D">
        <w:rPr>
          <w:rFonts w:ascii="Times New Roman" w:hAnsi="Times New Roman"/>
          <w:lang w:eastAsia="tr-TR"/>
        </w:rPr>
        <w:t xml:space="preserve">de </w:t>
      </w:r>
      <w:r w:rsidR="00502249">
        <w:rPr>
          <w:rFonts w:ascii="Times New Roman" w:hAnsi="Times New Roman"/>
          <w:lang w:eastAsia="tr-TR"/>
        </w:rPr>
        <w:t>katılmak mümkündür</w:t>
      </w:r>
      <w:r w:rsidR="00502249">
        <w:rPr>
          <w:rStyle w:val="FootnoteReference"/>
          <w:rFonts w:ascii="Times New Roman" w:hAnsi="Times New Roman"/>
          <w:lang w:eastAsia="tr-TR"/>
        </w:rPr>
        <w:footnoteReference w:id="10"/>
      </w:r>
      <w:r w:rsidR="00502249">
        <w:rPr>
          <w:rFonts w:ascii="Times New Roman" w:hAnsi="Times New Roman"/>
          <w:lang w:eastAsia="tr-TR"/>
        </w:rPr>
        <w:t>.</w:t>
      </w:r>
      <w:r w:rsidR="00611956">
        <w:rPr>
          <w:rFonts w:ascii="Times New Roman" w:hAnsi="Times New Roman"/>
          <w:lang w:eastAsia="tr-TR"/>
        </w:rPr>
        <w:t xml:space="preserve"> </w:t>
      </w:r>
      <w:proofErr w:type="spellStart"/>
      <w:r w:rsidR="00252B13" w:rsidRPr="00252B13">
        <w:rPr>
          <w:rFonts w:ascii="Times New Roman" w:hAnsi="Times New Roman"/>
          <w:lang w:eastAsia="tr-TR"/>
        </w:rPr>
        <w:t>A</w:t>
      </w:r>
      <w:r w:rsidR="00611956" w:rsidRPr="00252B13">
        <w:rPr>
          <w:rFonts w:ascii="Times New Roman" w:hAnsi="Times New Roman"/>
          <w:lang w:eastAsia="tr-TR"/>
        </w:rPr>
        <w:t>raçsal</w:t>
      </w:r>
      <w:proofErr w:type="spellEnd"/>
      <w:r w:rsidR="00611956" w:rsidRPr="00252B13">
        <w:rPr>
          <w:rFonts w:ascii="Times New Roman" w:hAnsi="Times New Roman"/>
          <w:lang w:eastAsia="tr-TR"/>
        </w:rPr>
        <w:t xml:space="preserve"> hukuk anlayışından cesaret bulan </w:t>
      </w:r>
      <w:r w:rsidR="00F516D8" w:rsidRPr="00252B13">
        <w:rPr>
          <w:rFonts w:ascii="Times New Roman" w:hAnsi="Times New Roman"/>
          <w:lang w:eastAsia="tr-TR"/>
        </w:rPr>
        <w:t xml:space="preserve">bu yaklaşımların sonucu </w:t>
      </w:r>
      <w:r w:rsidR="00252B13" w:rsidRPr="00252B13">
        <w:rPr>
          <w:rFonts w:ascii="Times New Roman" w:hAnsi="Times New Roman"/>
          <w:lang w:eastAsia="tr-TR"/>
        </w:rPr>
        <w:t xml:space="preserve">ise </w:t>
      </w:r>
      <w:r w:rsidR="00F516D8" w:rsidRPr="00252B13">
        <w:rPr>
          <w:rFonts w:ascii="Times New Roman" w:hAnsi="Times New Roman"/>
          <w:lang w:eastAsia="tr-TR"/>
        </w:rPr>
        <w:t>genellikle eşitsiz</w:t>
      </w:r>
      <w:r w:rsidR="00611956" w:rsidRPr="00252B13">
        <w:rPr>
          <w:rFonts w:ascii="Times New Roman" w:hAnsi="Times New Roman"/>
          <w:lang w:eastAsia="tr-TR"/>
        </w:rPr>
        <w:t>lik ve demokratik ilkelere aykırılık</w:t>
      </w:r>
      <w:r w:rsidR="00252B13" w:rsidRPr="00252B13">
        <w:rPr>
          <w:rFonts w:ascii="Times New Roman" w:hAnsi="Times New Roman"/>
          <w:lang w:eastAsia="tr-TR"/>
        </w:rPr>
        <w:t xml:space="preserve">tır. </w:t>
      </w:r>
      <w:r w:rsidR="00A0382F" w:rsidRPr="00252B13">
        <w:rPr>
          <w:rFonts w:ascii="Times New Roman" w:hAnsi="Times New Roman"/>
          <w:lang w:eastAsia="tr-TR"/>
        </w:rPr>
        <w:t>Covid</w:t>
      </w:r>
      <w:r w:rsidR="00A0382F">
        <w:rPr>
          <w:rFonts w:ascii="Times New Roman" w:hAnsi="Times New Roman"/>
          <w:lang w:eastAsia="tr-TR"/>
        </w:rPr>
        <w:t>-19 salgını kapsamında alınan önlemler</w:t>
      </w:r>
      <w:r w:rsidR="00611956">
        <w:rPr>
          <w:rFonts w:ascii="Times New Roman" w:hAnsi="Times New Roman"/>
          <w:lang w:eastAsia="tr-TR"/>
        </w:rPr>
        <w:t xml:space="preserve"> de </w:t>
      </w:r>
      <w:r w:rsidR="00A0382F">
        <w:rPr>
          <w:rFonts w:ascii="Times New Roman" w:hAnsi="Times New Roman"/>
          <w:lang w:eastAsia="tr-TR"/>
        </w:rPr>
        <w:t xml:space="preserve">aslında </w:t>
      </w:r>
      <w:r w:rsidR="00611956">
        <w:rPr>
          <w:rFonts w:ascii="Times New Roman" w:hAnsi="Times New Roman"/>
          <w:lang w:eastAsia="tr-TR"/>
        </w:rPr>
        <w:t xml:space="preserve">olağan veya olağanüstü hâl yetkilerinin kullanımına ilişkin olan ve </w:t>
      </w:r>
      <w:r w:rsidR="00A0382F" w:rsidRPr="00A0382F">
        <w:rPr>
          <w:rFonts w:ascii="Times New Roman" w:hAnsi="Times New Roman"/>
          <w:lang w:eastAsia="tr-TR"/>
        </w:rPr>
        <w:t>hukuk devletinin günlük rutini içinde</w:t>
      </w:r>
      <w:r w:rsidR="00A0382F">
        <w:rPr>
          <w:rFonts w:ascii="Times New Roman" w:hAnsi="Times New Roman"/>
          <w:lang w:eastAsia="tr-TR"/>
        </w:rPr>
        <w:t xml:space="preserve"> </w:t>
      </w:r>
      <w:r w:rsidR="00611956">
        <w:rPr>
          <w:rFonts w:ascii="Times New Roman" w:hAnsi="Times New Roman"/>
          <w:lang w:eastAsia="tr-TR"/>
        </w:rPr>
        <w:t xml:space="preserve">yer alan </w:t>
      </w:r>
      <w:r w:rsidR="00A0382F">
        <w:rPr>
          <w:rFonts w:ascii="Times New Roman" w:hAnsi="Times New Roman"/>
          <w:lang w:eastAsia="tr-TR"/>
        </w:rPr>
        <w:t>tartışmalı işlem ve eylemler</w:t>
      </w:r>
      <w:r w:rsidR="00611956">
        <w:rPr>
          <w:rFonts w:ascii="Times New Roman" w:hAnsi="Times New Roman"/>
          <w:lang w:eastAsia="tr-TR"/>
        </w:rPr>
        <w:t xml:space="preserve">e </w:t>
      </w:r>
      <w:r w:rsidR="00A0382F">
        <w:rPr>
          <w:rFonts w:ascii="Times New Roman" w:hAnsi="Times New Roman"/>
          <w:lang w:eastAsia="tr-TR"/>
        </w:rPr>
        <w:t>örnek olarak</w:t>
      </w:r>
      <w:r w:rsidR="00990B0D">
        <w:rPr>
          <w:rFonts w:ascii="Times New Roman" w:hAnsi="Times New Roman"/>
          <w:lang w:eastAsia="tr-TR"/>
        </w:rPr>
        <w:t xml:space="preserve"> </w:t>
      </w:r>
      <w:r w:rsidR="00A0382F">
        <w:rPr>
          <w:rFonts w:ascii="Times New Roman" w:hAnsi="Times New Roman"/>
          <w:lang w:eastAsia="tr-TR"/>
        </w:rPr>
        <w:t>gösteril</w:t>
      </w:r>
      <w:r w:rsidR="00611956">
        <w:rPr>
          <w:rFonts w:ascii="Times New Roman" w:hAnsi="Times New Roman"/>
          <w:lang w:eastAsia="tr-TR"/>
        </w:rPr>
        <w:t>ebilir.</w:t>
      </w:r>
    </w:p>
    <w:p w14:paraId="04EF91C6" w14:textId="5A5580AC" w:rsidR="00990B0D" w:rsidRDefault="00990B0D" w:rsidP="00503EB4">
      <w:pPr>
        <w:jc w:val="both"/>
        <w:rPr>
          <w:rFonts w:ascii="Times New Roman" w:hAnsi="Times New Roman"/>
          <w:lang w:eastAsia="tr-TR"/>
        </w:rPr>
      </w:pPr>
      <w:r>
        <w:rPr>
          <w:rFonts w:ascii="Times New Roman" w:hAnsi="Times New Roman"/>
          <w:lang w:eastAsia="tr-TR"/>
        </w:rPr>
        <w:tab/>
      </w:r>
      <w:r w:rsidR="00611956" w:rsidRPr="00FB3B85">
        <w:rPr>
          <w:rFonts w:ascii="Times New Roman" w:hAnsi="Times New Roman"/>
          <w:lang w:eastAsia="tr-TR"/>
        </w:rPr>
        <w:t>Pek çok ülke</w:t>
      </w:r>
      <w:r w:rsidR="00360A4F">
        <w:rPr>
          <w:rFonts w:ascii="Times New Roman" w:hAnsi="Times New Roman"/>
          <w:lang w:eastAsia="tr-TR"/>
        </w:rPr>
        <w:t xml:space="preserve">, </w:t>
      </w:r>
      <w:r w:rsidR="00611956" w:rsidRPr="00FB3B85">
        <w:rPr>
          <w:rFonts w:ascii="Times New Roman" w:hAnsi="Times New Roman"/>
          <w:lang w:eastAsia="tr-TR"/>
        </w:rPr>
        <w:t>Covid</w:t>
      </w:r>
      <w:r w:rsidR="00611956">
        <w:rPr>
          <w:rFonts w:ascii="Times New Roman" w:hAnsi="Times New Roman"/>
          <w:lang w:eastAsia="tr-TR"/>
        </w:rPr>
        <w:t>-</w:t>
      </w:r>
      <w:r w:rsidR="00611956" w:rsidRPr="00FB3B85">
        <w:rPr>
          <w:rFonts w:ascii="Times New Roman" w:hAnsi="Times New Roman"/>
          <w:lang w:eastAsia="tr-TR"/>
        </w:rPr>
        <w:t xml:space="preserve">19 salgınıyla olağanüstü </w:t>
      </w:r>
      <w:r w:rsidR="00611956">
        <w:rPr>
          <w:rFonts w:ascii="Times New Roman" w:hAnsi="Times New Roman"/>
          <w:lang w:eastAsia="tr-TR"/>
        </w:rPr>
        <w:t xml:space="preserve">hâl </w:t>
      </w:r>
      <w:r w:rsidR="00611956" w:rsidRPr="00FB3B85">
        <w:rPr>
          <w:rFonts w:ascii="Times New Roman" w:hAnsi="Times New Roman"/>
          <w:lang w:eastAsia="tr-TR"/>
        </w:rPr>
        <w:t>ilan ederek mücadele etme yolunu seç</w:t>
      </w:r>
      <w:r w:rsidR="00360A4F">
        <w:rPr>
          <w:rFonts w:ascii="Times New Roman" w:hAnsi="Times New Roman"/>
          <w:lang w:eastAsia="tr-TR"/>
        </w:rPr>
        <w:t>miş, b</w:t>
      </w:r>
      <w:r w:rsidR="00611956" w:rsidRPr="00FB3B85">
        <w:rPr>
          <w:rFonts w:ascii="Times New Roman" w:hAnsi="Times New Roman"/>
          <w:lang w:eastAsia="tr-TR"/>
        </w:rPr>
        <w:t>öylece</w:t>
      </w:r>
      <w:r w:rsidR="00611956">
        <w:rPr>
          <w:rFonts w:ascii="Times New Roman" w:hAnsi="Times New Roman"/>
          <w:lang w:eastAsia="tr-TR"/>
        </w:rPr>
        <w:t>, anayasal</w:t>
      </w:r>
      <w:r w:rsidR="00611956" w:rsidRPr="00FB3B85">
        <w:rPr>
          <w:rFonts w:ascii="Times New Roman" w:hAnsi="Times New Roman"/>
          <w:lang w:eastAsia="tr-TR"/>
        </w:rPr>
        <w:t xml:space="preserve"> haklara müdahaleyi meşru kılabildi</w:t>
      </w:r>
      <w:r w:rsidR="00611956">
        <w:rPr>
          <w:rFonts w:ascii="Times New Roman" w:hAnsi="Times New Roman"/>
          <w:lang w:eastAsia="tr-TR"/>
        </w:rPr>
        <w:t>klerini düşün</w:t>
      </w:r>
      <w:r w:rsidR="00360A4F">
        <w:rPr>
          <w:rFonts w:ascii="Times New Roman" w:hAnsi="Times New Roman"/>
          <w:lang w:eastAsia="tr-TR"/>
        </w:rPr>
        <w:t>müşlerdir</w:t>
      </w:r>
      <w:r>
        <w:rPr>
          <w:rFonts w:ascii="Times New Roman" w:hAnsi="Times New Roman"/>
          <w:lang w:eastAsia="tr-TR"/>
        </w:rPr>
        <w:t>.</w:t>
      </w:r>
      <w:r w:rsidR="00611956">
        <w:rPr>
          <w:rFonts w:ascii="Times New Roman" w:hAnsi="Times New Roman"/>
          <w:lang w:eastAsia="tr-TR"/>
        </w:rPr>
        <w:t xml:space="preserve"> </w:t>
      </w:r>
      <w:r w:rsidR="00611956" w:rsidRPr="00FB3B85">
        <w:rPr>
          <w:rFonts w:ascii="Times New Roman" w:hAnsi="Times New Roman"/>
          <w:lang w:eastAsia="tr-TR"/>
        </w:rPr>
        <w:t>Bunu</w:t>
      </w:r>
      <w:r w:rsidR="00360A4F">
        <w:rPr>
          <w:rFonts w:ascii="Times New Roman" w:hAnsi="Times New Roman"/>
          <w:lang w:eastAsia="tr-TR"/>
        </w:rPr>
        <w:t xml:space="preserve">n </w:t>
      </w:r>
      <w:r w:rsidR="00611956" w:rsidRPr="00FB3B85">
        <w:rPr>
          <w:rFonts w:ascii="Times New Roman" w:hAnsi="Times New Roman"/>
          <w:lang w:eastAsia="tr-TR"/>
        </w:rPr>
        <w:t>genel</w:t>
      </w:r>
      <w:r w:rsidR="00611956">
        <w:rPr>
          <w:rFonts w:ascii="Times New Roman" w:hAnsi="Times New Roman"/>
          <w:lang w:eastAsia="tr-TR"/>
        </w:rPr>
        <w:t xml:space="preserve"> olarak; </w:t>
      </w:r>
      <w:r w:rsidR="00611956" w:rsidRPr="00FB3B85">
        <w:rPr>
          <w:rFonts w:ascii="Times New Roman" w:hAnsi="Times New Roman"/>
          <w:lang w:eastAsia="tr-TR"/>
        </w:rPr>
        <w:t xml:space="preserve">Anayasa uyarınca olağanüstü hâl ilan edilmesi, halk sağlığı veya ulusal afetlerle ilgili </w:t>
      </w:r>
      <w:r w:rsidR="00611956">
        <w:rPr>
          <w:rFonts w:ascii="Times New Roman" w:hAnsi="Times New Roman"/>
          <w:lang w:eastAsia="tr-TR"/>
        </w:rPr>
        <w:t xml:space="preserve">var olan </w:t>
      </w:r>
      <w:r w:rsidR="00611956" w:rsidRPr="00FB3B85">
        <w:rPr>
          <w:rFonts w:ascii="Times New Roman" w:hAnsi="Times New Roman"/>
          <w:lang w:eastAsia="tr-TR"/>
        </w:rPr>
        <w:t xml:space="preserve">mevzuatın kullanılması ve yeni </w:t>
      </w:r>
      <w:r w:rsidR="00611956">
        <w:rPr>
          <w:rFonts w:ascii="Times New Roman" w:hAnsi="Times New Roman"/>
          <w:lang w:eastAsia="tr-TR"/>
        </w:rPr>
        <w:t xml:space="preserve">bir </w:t>
      </w:r>
      <w:r w:rsidR="00611956" w:rsidRPr="00FB3B85">
        <w:rPr>
          <w:rFonts w:ascii="Times New Roman" w:hAnsi="Times New Roman"/>
          <w:lang w:eastAsia="tr-TR"/>
        </w:rPr>
        <w:t>acil durum mevzuatının kabul edilmesi</w:t>
      </w:r>
      <w:r w:rsidR="00611956">
        <w:rPr>
          <w:rFonts w:ascii="Times New Roman" w:hAnsi="Times New Roman"/>
          <w:lang w:eastAsia="tr-TR"/>
        </w:rPr>
        <w:t xml:space="preserve"> şeklinde özetlenebilecek olan üç farklı yolla gerçekleşti</w:t>
      </w:r>
      <w:r>
        <w:rPr>
          <w:rFonts w:ascii="Times New Roman" w:hAnsi="Times New Roman"/>
          <w:lang w:eastAsia="tr-TR"/>
        </w:rPr>
        <w:t>r</w:t>
      </w:r>
      <w:r w:rsidR="00360A4F">
        <w:rPr>
          <w:rFonts w:ascii="Times New Roman" w:hAnsi="Times New Roman"/>
          <w:lang w:eastAsia="tr-TR"/>
        </w:rPr>
        <w:t xml:space="preserve">ildiğini </w:t>
      </w:r>
      <w:r>
        <w:rPr>
          <w:rFonts w:ascii="Times New Roman" w:hAnsi="Times New Roman"/>
          <w:lang w:eastAsia="tr-TR"/>
        </w:rPr>
        <w:t>görmek mümkün</w:t>
      </w:r>
      <w:r w:rsidR="00360A4F">
        <w:rPr>
          <w:rFonts w:ascii="Times New Roman" w:hAnsi="Times New Roman"/>
          <w:lang w:eastAsia="tr-TR"/>
        </w:rPr>
        <w:t>dür</w:t>
      </w:r>
      <w:r w:rsidR="00611956" w:rsidRPr="00FB3B85">
        <w:rPr>
          <w:rFonts w:ascii="Times New Roman" w:hAnsi="Times New Roman"/>
          <w:lang w:eastAsia="tr-TR"/>
        </w:rPr>
        <w:t>.</w:t>
      </w:r>
      <w:r>
        <w:rPr>
          <w:rFonts w:ascii="Times New Roman" w:hAnsi="Times New Roman"/>
          <w:lang w:eastAsia="tr-TR"/>
        </w:rPr>
        <w:t xml:space="preserve"> </w:t>
      </w:r>
      <w:r w:rsidR="00DD67D5">
        <w:rPr>
          <w:rFonts w:ascii="Times New Roman" w:hAnsi="Times New Roman"/>
          <w:lang w:eastAsia="tr-TR"/>
        </w:rPr>
        <w:t xml:space="preserve">Kimi ülkeler federal düzeyde olağanüstü hâl ilan ederken, kimilerinde ise federe veya bölgesel düzeyde yetkilerin kullanıldığını görmek mümkündür. Genel bir sınıflandırma yapılacak olursa; </w:t>
      </w:r>
      <w:r w:rsidR="006E53FC">
        <w:rPr>
          <w:rFonts w:ascii="Times New Roman" w:hAnsi="Times New Roman"/>
          <w:lang w:eastAsia="tr-TR"/>
        </w:rPr>
        <w:t xml:space="preserve">Almanya, </w:t>
      </w:r>
      <w:r>
        <w:rPr>
          <w:rFonts w:ascii="Times New Roman" w:hAnsi="Times New Roman"/>
          <w:lang w:eastAsia="tr-TR"/>
        </w:rPr>
        <w:t xml:space="preserve">Bulgaristan, Çek Cumhuriyeti, </w:t>
      </w:r>
      <w:r w:rsidRPr="00990B0D">
        <w:rPr>
          <w:rFonts w:ascii="Times New Roman" w:hAnsi="Times New Roman"/>
          <w:lang w:eastAsia="tr-TR"/>
        </w:rPr>
        <w:t>Finland</w:t>
      </w:r>
      <w:r>
        <w:rPr>
          <w:rFonts w:ascii="Times New Roman" w:hAnsi="Times New Roman"/>
          <w:lang w:eastAsia="tr-TR"/>
        </w:rPr>
        <w:t xml:space="preserve">iya, </w:t>
      </w:r>
      <w:r w:rsidR="006E53FC">
        <w:rPr>
          <w:rFonts w:ascii="Times New Roman" w:hAnsi="Times New Roman"/>
          <w:lang w:eastAsia="tr-TR"/>
        </w:rPr>
        <w:t xml:space="preserve">Fransa, </w:t>
      </w:r>
      <w:r w:rsidRPr="00990B0D">
        <w:rPr>
          <w:rFonts w:ascii="Times New Roman" w:hAnsi="Times New Roman"/>
          <w:lang w:eastAsia="tr-TR"/>
        </w:rPr>
        <w:t>Eston</w:t>
      </w:r>
      <w:r>
        <w:rPr>
          <w:rFonts w:ascii="Times New Roman" w:hAnsi="Times New Roman"/>
          <w:lang w:eastAsia="tr-TR"/>
        </w:rPr>
        <w:t xml:space="preserve">ya, </w:t>
      </w:r>
      <w:r w:rsidR="006E53FC">
        <w:rPr>
          <w:rFonts w:ascii="Times New Roman" w:hAnsi="Times New Roman"/>
          <w:lang w:eastAsia="tr-TR"/>
        </w:rPr>
        <w:t xml:space="preserve">İtalya, Letonya, </w:t>
      </w:r>
      <w:r>
        <w:rPr>
          <w:rFonts w:ascii="Times New Roman" w:hAnsi="Times New Roman"/>
          <w:lang w:eastAsia="tr-TR"/>
        </w:rPr>
        <w:t>Macaristan, Lüksemburg, Portekiz, Romanya</w:t>
      </w:r>
      <w:r w:rsidR="006E53FC">
        <w:rPr>
          <w:rFonts w:ascii="Times New Roman" w:hAnsi="Times New Roman"/>
          <w:lang w:eastAsia="tr-TR"/>
        </w:rPr>
        <w:t xml:space="preserve">, </w:t>
      </w:r>
      <w:r>
        <w:rPr>
          <w:rFonts w:ascii="Times New Roman" w:hAnsi="Times New Roman"/>
          <w:lang w:eastAsia="tr-TR"/>
        </w:rPr>
        <w:t xml:space="preserve">İspanya </w:t>
      </w:r>
      <w:r w:rsidR="006E53FC">
        <w:rPr>
          <w:rFonts w:ascii="Times New Roman" w:hAnsi="Times New Roman"/>
          <w:lang w:eastAsia="tr-TR"/>
        </w:rPr>
        <w:t xml:space="preserve">ve Slovakya </w:t>
      </w:r>
      <w:r>
        <w:rPr>
          <w:rFonts w:ascii="Times New Roman" w:hAnsi="Times New Roman"/>
          <w:lang w:eastAsia="tr-TR"/>
        </w:rPr>
        <w:t>olağanüstü hâl ilan eden ülkeler</w:t>
      </w:r>
      <w:r w:rsidR="006E53FC">
        <w:rPr>
          <w:rFonts w:ascii="Times New Roman" w:hAnsi="Times New Roman"/>
          <w:lang w:eastAsia="tr-TR"/>
        </w:rPr>
        <w:t xml:space="preserve"> </w:t>
      </w:r>
      <w:r>
        <w:rPr>
          <w:rFonts w:ascii="Times New Roman" w:hAnsi="Times New Roman"/>
          <w:lang w:eastAsia="tr-TR"/>
        </w:rPr>
        <w:t>arasındadır</w:t>
      </w:r>
      <w:r w:rsidR="006E53FC">
        <w:rPr>
          <w:rStyle w:val="FootnoteReference"/>
          <w:rFonts w:ascii="Times New Roman" w:hAnsi="Times New Roman"/>
          <w:lang w:eastAsia="tr-TR"/>
        </w:rPr>
        <w:footnoteReference w:id="11"/>
      </w:r>
      <w:r>
        <w:rPr>
          <w:rFonts w:ascii="Times New Roman" w:hAnsi="Times New Roman"/>
          <w:lang w:eastAsia="tr-TR"/>
        </w:rPr>
        <w:t>. Olağanüstü hâle ilişkin anayasasında</w:t>
      </w:r>
      <w:r w:rsidRPr="00990B0D">
        <w:rPr>
          <w:rFonts w:ascii="Times New Roman" w:hAnsi="Times New Roman"/>
          <w:lang w:eastAsia="tr-TR"/>
        </w:rPr>
        <w:t xml:space="preserve"> herhangi bir hüküm bulunmayan az </w:t>
      </w:r>
      <w:r w:rsidRPr="00990B0D">
        <w:rPr>
          <w:rFonts w:ascii="Times New Roman" w:hAnsi="Times New Roman"/>
          <w:lang w:eastAsia="tr-TR"/>
        </w:rPr>
        <w:lastRenderedPageBreak/>
        <w:t>sayıdaki</w:t>
      </w:r>
      <w:r>
        <w:rPr>
          <w:rFonts w:ascii="Times New Roman" w:hAnsi="Times New Roman"/>
          <w:lang w:eastAsia="tr-TR"/>
        </w:rPr>
        <w:t xml:space="preserve"> devletten biri olan</w:t>
      </w:r>
      <w:r w:rsidRPr="00990B0D">
        <w:rPr>
          <w:rFonts w:ascii="Times New Roman" w:hAnsi="Times New Roman"/>
          <w:lang w:eastAsia="tr-TR"/>
        </w:rPr>
        <w:t xml:space="preserve"> </w:t>
      </w:r>
      <w:r>
        <w:rPr>
          <w:rFonts w:ascii="Times New Roman" w:hAnsi="Times New Roman"/>
          <w:lang w:eastAsia="tr-TR"/>
        </w:rPr>
        <w:t xml:space="preserve">Amerika Birleşik Devletleri de federal düzeyde </w:t>
      </w:r>
      <w:r w:rsidR="006E53FC">
        <w:rPr>
          <w:rFonts w:ascii="Times New Roman" w:hAnsi="Times New Roman"/>
          <w:lang w:eastAsia="tr-TR"/>
        </w:rPr>
        <w:t>‘ulusal acil durum”</w:t>
      </w:r>
      <w:r>
        <w:rPr>
          <w:rFonts w:ascii="Times New Roman" w:hAnsi="Times New Roman"/>
          <w:lang w:eastAsia="tr-TR"/>
        </w:rPr>
        <w:t xml:space="preserve"> ilan etmiştir</w:t>
      </w:r>
      <w:r w:rsidR="006E53FC">
        <w:rPr>
          <w:rStyle w:val="FootnoteReference"/>
          <w:rFonts w:ascii="Times New Roman" w:hAnsi="Times New Roman"/>
          <w:lang w:eastAsia="tr-TR"/>
        </w:rPr>
        <w:footnoteReference w:id="12"/>
      </w:r>
      <w:r>
        <w:rPr>
          <w:rFonts w:ascii="Times New Roman" w:hAnsi="Times New Roman"/>
          <w:lang w:eastAsia="tr-TR"/>
        </w:rPr>
        <w:t>.</w:t>
      </w:r>
      <w:r w:rsidR="004D289D">
        <w:rPr>
          <w:rFonts w:ascii="Times New Roman" w:hAnsi="Times New Roman"/>
          <w:lang w:eastAsia="tr-TR"/>
        </w:rPr>
        <w:t xml:space="preserve"> </w:t>
      </w:r>
      <w:r>
        <w:rPr>
          <w:rFonts w:ascii="Times New Roman" w:hAnsi="Times New Roman"/>
          <w:lang w:eastAsia="tr-TR"/>
        </w:rPr>
        <w:t>Avusturya, Belçika, Hırvatistan, Güney Kıbrıs</w:t>
      </w:r>
      <w:r w:rsidRPr="00990B0D">
        <w:rPr>
          <w:rFonts w:ascii="Times New Roman" w:hAnsi="Times New Roman"/>
          <w:lang w:eastAsia="tr-TR"/>
        </w:rPr>
        <w:t xml:space="preserve">, </w:t>
      </w:r>
      <w:r>
        <w:rPr>
          <w:rFonts w:ascii="Times New Roman" w:hAnsi="Times New Roman"/>
          <w:lang w:eastAsia="tr-TR"/>
        </w:rPr>
        <w:t>Danimarka, Yunanistan, İrlanda</w:t>
      </w:r>
      <w:r w:rsidRPr="00990B0D">
        <w:rPr>
          <w:rFonts w:ascii="Times New Roman" w:hAnsi="Times New Roman"/>
          <w:lang w:eastAsia="tr-TR"/>
        </w:rPr>
        <w:t xml:space="preserve">, </w:t>
      </w:r>
      <w:r>
        <w:rPr>
          <w:rFonts w:ascii="Times New Roman" w:hAnsi="Times New Roman"/>
          <w:lang w:eastAsia="tr-TR"/>
        </w:rPr>
        <w:t>Litvanya, Malta, Hollanda, Polonya, Slovenya, İsveç</w:t>
      </w:r>
      <w:r w:rsidR="004D289D">
        <w:rPr>
          <w:rFonts w:ascii="Times New Roman" w:hAnsi="Times New Roman"/>
          <w:lang w:eastAsia="tr-TR"/>
        </w:rPr>
        <w:t xml:space="preserve">, </w:t>
      </w:r>
      <w:r>
        <w:rPr>
          <w:rFonts w:ascii="Times New Roman" w:hAnsi="Times New Roman"/>
          <w:lang w:eastAsia="tr-TR"/>
        </w:rPr>
        <w:t xml:space="preserve">Birleşik Krallık </w:t>
      </w:r>
      <w:r w:rsidR="004D289D">
        <w:rPr>
          <w:rFonts w:ascii="Times New Roman" w:hAnsi="Times New Roman"/>
          <w:lang w:eastAsia="tr-TR"/>
        </w:rPr>
        <w:t xml:space="preserve">ve Türkiye </w:t>
      </w:r>
      <w:r>
        <w:rPr>
          <w:rFonts w:ascii="Times New Roman" w:hAnsi="Times New Roman"/>
          <w:lang w:eastAsia="tr-TR"/>
        </w:rPr>
        <w:t>ise olağanüstü hâl ilan etmeyen ülkeler arasında yer almaktadır.</w:t>
      </w:r>
    </w:p>
    <w:p w14:paraId="3BA962F8" w14:textId="235186E0" w:rsidR="009C1DFB" w:rsidRPr="006333EB" w:rsidRDefault="009C1DFB" w:rsidP="00503EB4">
      <w:pPr>
        <w:jc w:val="both"/>
        <w:rPr>
          <w:rFonts w:ascii="Times New Roman" w:hAnsi="Times New Roman"/>
          <w:b/>
          <w:bCs/>
          <w:lang w:eastAsia="tr-TR"/>
        </w:rPr>
      </w:pPr>
      <w:r>
        <w:rPr>
          <w:rFonts w:ascii="Times New Roman" w:hAnsi="Times New Roman"/>
          <w:lang w:eastAsia="tr-TR"/>
        </w:rPr>
        <w:tab/>
      </w:r>
      <w:r w:rsidRPr="006333EB">
        <w:rPr>
          <w:rFonts w:ascii="Times New Roman" w:hAnsi="Times New Roman"/>
          <w:b/>
          <w:bCs/>
          <w:lang w:eastAsia="tr-TR"/>
        </w:rPr>
        <w:t xml:space="preserve">a. DİKEY VE </w:t>
      </w:r>
      <w:r w:rsidR="006333EB" w:rsidRPr="006333EB">
        <w:rPr>
          <w:rFonts w:ascii="Times New Roman" w:hAnsi="Times New Roman"/>
          <w:b/>
          <w:bCs/>
          <w:lang w:eastAsia="tr-TR"/>
        </w:rPr>
        <w:t xml:space="preserve">YATAY </w:t>
      </w:r>
      <w:r w:rsidRPr="006333EB">
        <w:rPr>
          <w:rFonts w:ascii="Times New Roman" w:hAnsi="Times New Roman"/>
          <w:b/>
          <w:bCs/>
          <w:lang w:eastAsia="tr-TR"/>
        </w:rPr>
        <w:t xml:space="preserve">KUVVETLER AYRILIĞINA </w:t>
      </w:r>
      <w:r w:rsidR="000A2B75" w:rsidRPr="006333EB">
        <w:rPr>
          <w:rFonts w:ascii="Times New Roman" w:hAnsi="Times New Roman"/>
          <w:b/>
          <w:bCs/>
          <w:lang w:eastAsia="tr-TR"/>
        </w:rPr>
        <w:t xml:space="preserve">VE YETKİ PAYLAŞIMLARINA </w:t>
      </w:r>
      <w:r w:rsidR="006333EB" w:rsidRPr="006333EB">
        <w:rPr>
          <w:rFonts w:ascii="Times New Roman" w:hAnsi="Times New Roman"/>
          <w:b/>
          <w:bCs/>
          <w:lang w:eastAsia="tr-TR"/>
        </w:rPr>
        <w:tab/>
      </w:r>
      <w:r w:rsidRPr="006333EB">
        <w:rPr>
          <w:rFonts w:ascii="Times New Roman" w:hAnsi="Times New Roman"/>
          <w:b/>
          <w:bCs/>
          <w:lang w:eastAsia="tr-TR"/>
        </w:rPr>
        <w:t>İLİŞKİN TARTIŞMALAR</w:t>
      </w:r>
    </w:p>
    <w:p w14:paraId="60026CB6" w14:textId="338A1B66" w:rsidR="00F3529D" w:rsidRDefault="00360A4F" w:rsidP="00503EB4">
      <w:pPr>
        <w:jc w:val="both"/>
        <w:rPr>
          <w:rFonts w:ascii="Times New Roman" w:hAnsi="Times New Roman"/>
          <w:lang w:eastAsia="tr-TR"/>
        </w:rPr>
      </w:pPr>
      <w:r>
        <w:rPr>
          <w:rFonts w:ascii="Times New Roman" w:hAnsi="Times New Roman"/>
          <w:lang w:eastAsia="tr-TR"/>
        </w:rPr>
        <w:tab/>
        <w:t xml:space="preserve">Salgınla mücadelede ortaya çıkan tartışmaları birkaç başlık altında toplamak mümkündür. </w:t>
      </w:r>
      <w:r w:rsidR="00DD67D5">
        <w:rPr>
          <w:rFonts w:ascii="Times New Roman" w:hAnsi="Times New Roman"/>
          <w:lang w:eastAsia="tr-TR"/>
        </w:rPr>
        <w:t>İ</w:t>
      </w:r>
      <w:r>
        <w:rPr>
          <w:rFonts w:ascii="Times New Roman" w:hAnsi="Times New Roman"/>
          <w:lang w:eastAsia="tr-TR"/>
        </w:rPr>
        <w:t xml:space="preserve">lk olarak, </w:t>
      </w:r>
      <w:r w:rsidR="00DD67D5">
        <w:rPr>
          <w:rFonts w:ascii="Times New Roman" w:hAnsi="Times New Roman"/>
          <w:lang w:eastAsia="tr-TR"/>
        </w:rPr>
        <w:t>dikey ve yatay kuvvetler ayrılığı temelinde tartışmaların ortaya çıktığını söylemek gerekir. Buna göre, salgına ilişkin yetki</w:t>
      </w:r>
      <w:r w:rsidR="00ED61A0">
        <w:rPr>
          <w:rFonts w:ascii="Times New Roman" w:hAnsi="Times New Roman"/>
          <w:lang w:eastAsia="tr-TR"/>
        </w:rPr>
        <w:t xml:space="preserve"> kullanımının </w:t>
      </w:r>
      <w:r w:rsidR="00DD67D5">
        <w:rPr>
          <w:rFonts w:ascii="Times New Roman" w:hAnsi="Times New Roman"/>
          <w:lang w:eastAsia="tr-TR"/>
        </w:rPr>
        <w:t xml:space="preserve">hem yasama ve yürütme organları arasında hem de </w:t>
      </w:r>
      <w:r>
        <w:rPr>
          <w:rFonts w:ascii="Times New Roman" w:hAnsi="Times New Roman"/>
          <w:lang w:eastAsia="tr-TR"/>
        </w:rPr>
        <w:t>federal devlet biçimine sahip ülkelerde</w:t>
      </w:r>
      <w:r w:rsidR="00DD67D5">
        <w:rPr>
          <w:rFonts w:ascii="Times New Roman" w:hAnsi="Times New Roman"/>
          <w:lang w:eastAsia="tr-TR"/>
        </w:rPr>
        <w:t xml:space="preserve"> </w:t>
      </w:r>
      <w:r>
        <w:rPr>
          <w:rFonts w:ascii="Times New Roman" w:hAnsi="Times New Roman"/>
          <w:lang w:eastAsia="tr-TR"/>
        </w:rPr>
        <w:t xml:space="preserve">federal ve federe düzeyde nasıl paylaştırılacağı </w:t>
      </w:r>
      <w:r w:rsidR="00DD67D5">
        <w:rPr>
          <w:rFonts w:ascii="Times New Roman" w:hAnsi="Times New Roman"/>
          <w:lang w:eastAsia="tr-TR"/>
        </w:rPr>
        <w:t xml:space="preserve">üzerinde durulmuştur. </w:t>
      </w:r>
      <w:r>
        <w:rPr>
          <w:rFonts w:ascii="Times New Roman" w:hAnsi="Times New Roman"/>
          <w:lang w:eastAsia="tr-TR"/>
        </w:rPr>
        <w:t>Almanya</w:t>
      </w:r>
      <w:r w:rsidR="00A443F4">
        <w:rPr>
          <w:rFonts w:ascii="Times New Roman" w:hAnsi="Times New Roman"/>
          <w:lang w:eastAsia="tr-TR"/>
        </w:rPr>
        <w:t xml:space="preserve">, </w:t>
      </w:r>
      <w:r>
        <w:rPr>
          <w:rFonts w:ascii="Times New Roman" w:hAnsi="Times New Roman"/>
          <w:lang w:eastAsia="tr-TR"/>
        </w:rPr>
        <w:t>Belçika</w:t>
      </w:r>
      <w:r w:rsidR="00A443F4">
        <w:rPr>
          <w:rFonts w:ascii="Times New Roman" w:hAnsi="Times New Roman"/>
          <w:lang w:eastAsia="tr-TR"/>
        </w:rPr>
        <w:t xml:space="preserve"> ve Amerika Birleşik Devletleri’ni </w:t>
      </w:r>
      <w:r>
        <w:rPr>
          <w:rFonts w:ascii="Times New Roman" w:hAnsi="Times New Roman"/>
          <w:lang w:eastAsia="tr-TR"/>
        </w:rPr>
        <w:t>bu ülkelere örnek göstermek mümkündür.</w:t>
      </w:r>
      <w:r w:rsidR="00ED61A0">
        <w:rPr>
          <w:rFonts w:ascii="Times New Roman" w:hAnsi="Times New Roman"/>
          <w:lang w:eastAsia="tr-TR"/>
        </w:rPr>
        <w:t xml:space="preserve"> Gerçekten de f</w:t>
      </w:r>
      <w:r w:rsidR="00ED61A0" w:rsidRPr="00ED61A0">
        <w:rPr>
          <w:rFonts w:ascii="Times New Roman" w:hAnsi="Times New Roman"/>
          <w:lang w:eastAsia="tr-TR"/>
        </w:rPr>
        <w:t>ederalizm, Almanya'daki Covid</w:t>
      </w:r>
      <w:r w:rsidR="00ED61A0">
        <w:rPr>
          <w:rFonts w:ascii="Times New Roman" w:hAnsi="Times New Roman"/>
          <w:lang w:eastAsia="tr-TR"/>
        </w:rPr>
        <w:t>-</w:t>
      </w:r>
      <w:r w:rsidR="00ED61A0" w:rsidRPr="00ED61A0">
        <w:rPr>
          <w:rFonts w:ascii="Times New Roman" w:hAnsi="Times New Roman"/>
          <w:lang w:eastAsia="tr-TR"/>
        </w:rPr>
        <w:t xml:space="preserve">19 </w:t>
      </w:r>
      <w:proofErr w:type="spellStart"/>
      <w:r w:rsidR="00ED61A0" w:rsidRPr="00ED61A0">
        <w:rPr>
          <w:rFonts w:ascii="Times New Roman" w:hAnsi="Times New Roman"/>
          <w:lang w:eastAsia="tr-TR"/>
        </w:rPr>
        <w:t>pandemisinin</w:t>
      </w:r>
      <w:proofErr w:type="spellEnd"/>
      <w:r w:rsidR="00ED61A0" w:rsidRPr="00ED61A0">
        <w:rPr>
          <w:rFonts w:ascii="Times New Roman" w:hAnsi="Times New Roman"/>
          <w:lang w:eastAsia="tr-TR"/>
        </w:rPr>
        <w:t xml:space="preserve"> yönetimini şekillendir</w:t>
      </w:r>
      <w:r w:rsidR="00ED61A0">
        <w:rPr>
          <w:rFonts w:ascii="Times New Roman" w:hAnsi="Times New Roman"/>
          <w:lang w:eastAsia="tr-TR"/>
        </w:rPr>
        <w:t>miştir</w:t>
      </w:r>
      <w:r w:rsidR="00ED61A0">
        <w:rPr>
          <w:rStyle w:val="FootnoteReference"/>
          <w:rFonts w:ascii="Times New Roman" w:hAnsi="Times New Roman"/>
          <w:lang w:eastAsia="tr-TR"/>
        </w:rPr>
        <w:footnoteReference w:id="13"/>
      </w:r>
      <w:r w:rsidR="00ED61A0" w:rsidRPr="00ED61A0">
        <w:rPr>
          <w:rFonts w:ascii="Times New Roman" w:hAnsi="Times New Roman"/>
          <w:lang w:eastAsia="tr-TR"/>
        </w:rPr>
        <w:t xml:space="preserve">. </w:t>
      </w:r>
      <w:r w:rsidR="00ED61A0">
        <w:rPr>
          <w:rFonts w:ascii="Times New Roman" w:hAnsi="Times New Roman"/>
          <w:lang w:eastAsia="tr-TR"/>
        </w:rPr>
        <w:t xml:space="preserve">Bu çerçevede, eyaletler, </w:t>
      </w:r>
      <w:r w:rsidR="00ED61A0" w:rsidRPr="00ED61A0">
        <w:rPr>
          <w:rFonts w:ascii="Times New Roman" w:hAnsi="Times New Roman"/>
          <w:lang w:eastAsia="tr-TR"/>
        </w:rPr>
        <w:t>krizin baş aktörleri</w:t>
      </w:r>
      <w:r w:rsidR="00ED61A0">
        <w:rPr>
          <w:rFonts w:ascii="Times New Roman" w:hAnsi="Times New Roman"/>
          <w:lang w:eastAsia="tr-TR"/>
        </w:rPr>
        <w:t xml:space="preserve"> olarak kabul edilmiş ve </w:t>
      </w:r>
      <w:r w:rsidR="00ED61A0" w:rsidRPr="00ED61A0">
        <w:rPr>
          <w:rFonts w:ascii="Times New Roman" w:hAnsi="Times New Roman"/>
          <w:lang w:eastAsia="tr-TR"/>
        </w:rPr>
        <w:t>uygun önlemleri almakla sorumlu</w:t>
      </w:r>
      <w:r w:rsidR="00ED61A0">
        <w:rPr>
          <w:rFonts w:ascii="Times New Roman" w:hAnsi="Times New Roman"/>
          <w:lang w:eastAsia="tr-TR"/>
        </w:rPr>
        <w:t xml:space="preserve"> olmuşlardır. Ülkede, salgına ilişkin alınan önlemlerin federal düzeyde yasal zeminini ise </w:t>
      </w:r>
      <w:r w:rsidR="00ED61A0" w:rsidRPr="00360A4F">
        <w:rPr>
          <w:rFonts w:ascii="Times New Roman" w:hAnsi="Times New Roman"/>
          <w:lang w:eastAsia="tr-TR"/>
        </w:rPr>
        <w:t xml:space="preserve">2000 tarihli Enfeksiyondan Koruma Yasası </w:t>
      </w:r>
      <w:r w:rsidR="00ED61A0" w:rsidRPr="00ED61A0">
        <w:rPr>
          <w:rFonts w:ascii="Times New Roman" w:hAnsi="Times New Roman"/>
          <w:i/>
          <w:iCs/>
          <w:lang w:eastAsia="tr-TR"/>
        </w:rPr>
        <w:t>(</w:t>
      </w:r>
      <w:proofErr w:type="spellStart"/>
      <w:r w:rsidR="00ED61A0" w:rsidRPr="00ED61A0">
        <w:rPr>
          <w:rFonts w:ascii="Times New Roman" w:hAnsi="Times New Roman"/>
          <w:i/>
          <w:iCs/>
          <w:lang w:eastAsia="tr-TR"/>
        </w:rPr>
        <w:t>Infektionsschutzgesetz</w:t>
      </w:r>
      <w:proofErr w:type="spellEnd"/>
      <w:r w:rsidR="00ED61A0" w:rsidRPr="00ED61A0">
        <w:rPr>
          <w:rFonts w:ascii="Times New Roman" w:hAnsi="Times New Roman"/>
          <w:i/>
          <w:iCs/>
          <w:lang w:eastAsia="tr-TR"/>
        </w:rPr>
        <w:t>/</w:t>
      </w:r>
      <w:proofErr w:type="spellStart"/>
      <w:r w:rsidR="00ED61A0" w:rsidRPr="00ED61A0">
        <w:rPr>
          <w:rFonts w:ascii="Times New Roman" w:hAnsi="Times New Roman"/>
          <w:i/>
          <w:iCs/>
          <w:lang w:eastAsia="tr-TR"/>
        </w:rPr>
        <w:t>IfSG</w:t>
      </w:r>
      <w:proofErr w:type="spellEnd"/>
      <w:r w:rsidR="00ED61A0" w:rsidRPr="00ED61A0">
        <w:rPr>
          <w:rFonts w:ascii="Times New Roman" w:hAnsi="Times New Roman"/>
          <w:i/>
          <w:iCs/>
          <w:lang w:eastAsia="tr-TR"/>
        </w:rPr>
        <w:t>)</w:t>
      </w:r>
      <w:r w:rsidR="00ED61A0">
        <w:rPr>
          <w:rFonts w:ascii="Times New Roman" w:hAnsi="Times New Roman"/>
          <w:lang w:eastAsia="tr-TR"/>
        </w:rPr>
        <w:t xml:space="preserve"> </w:t>
      </w:r>
      <w:r w:rsidR="00ED61A0" w:rsidRPr="00360A4F">
        <w:rPr>
          <w:rFonts w:ascii="Times New Roman" w:hAnsi="Times New Roman"/>
          <w:lang w:eastAsia="tr-TR"/>
        </w:rPr>
        <w:t>oluştur</w:t>
      </w:r>
      <w:r w:rsidR="00ED61A0">
        <w:rPr>
          <w:rFonts w:ascii="Times New Roman" w:hAnsi="Times New Roman"/>
          <w:lang w:eastAsia="tr-TR"/>
        </w:rPr>
        <w:t xml:space="preserve">maktadır. </w:t>
      </w:r>
      <w:r w:rsidR="00F3529D">
        <w:rPr>
          <w:rFonts w:ascii="Times New Roman" w:hAnsi="Times New Roman"/>
          <w:lang w:eastAsia="tr-TR"/>
        </w:rPr>
        <w:t>Buna ek olarak, Federal Almanya Cumhuriyeti Anayasası’nın 3</w:t>
      </w:r>
      <w:r w:rsidR="00F3529D" w:rsidRPr="00ED61A0">
        <w:rPr>
          <w:rFonts w:ascii="Times New Roman" w:hAnsi="Times New Roman"/>
          <w:lang w:eastAsia="tr-TR"/>
        </w:rPr>
        <w:t>5</w:t>
      </w:r>
      <w:r w:rsidR="00F3529D">
        <w:rPr>
          <w:rFonts w:ascii="Times New Roman" w:hAnsi="Times New Roman"/>
          <w:lang w:eastAsia="tr-TR"/>
        </w:rPr>
        <w:t>. maddesi de bu yasal zemine dahildir. O</w:t>
      </w:r>
      <w:r w:rsidR="00ED61A0">
        <w:rPr>
          <w:rFonts w:ascii="Times New Roman" w:hAnsi="Times New Roman"/>
          <w:lang w:eastAsia="tr-TR"/>
        </w:rPr>
        <w:t>lağan hâllerde</w:t>
      </w:r>
      <w:r w:rsidR="00ED61A0" w:rsidRPr="00ED61A0">
        <w:rPr>
          <w:rFonts w:ascii="Times New Roman" w:hAnsi="Times New Roman"/>
          <w:lang w:eastAsia="tr-TR"/>
        </w:rPr>
        <w:t xml:space="preserve"> federal devletin eyaletlere yalnızca görüş verme yetkisi </w:t>
      </w:r>
      <w:r w:rsidR="00ED61A0">
        <w:rPr>
          <w:rFonts w:ascii="Times New Roman" w:hAnsi="Times New Roman"/>
          <w:lang w:eastAsia="tr-TR"/>
        </w:rPr>
        <w:t>olmasına karşın</w:t>
      </w:r>
      <w:r w:rsidR="00F3529D">
        <w:rPr>
          <w:rFonts w:ascii="Times New Roman" w:hAnsi="Times New Roman"/>
          <w:lang w:eastAsia="tr-TR"/>
        </w:rPr>
        <w:t>,</w:t>
      </w:r>
      <w:r w:rsidR="00ED61A0">
        <w:rPr>
          <w:rFonts w:ascii="Times New Roman" w:hAnsi="Times New Roman"/>
          <w:lang w:eastAsia="tr-TR"/>
        </w:rPr>
        <w:t xml:space="preserve"> </w:t>
      </w:r>
      <w:r w:rsidR="00F3529D">
        <w:rPr>
          <w:rFonts w:ascii="Times New Roman" w:hAnsi="Times New Roman"/>
          <w:lang w:eastAsia="tr-TR"/>
        </w:rPr>
        <w:t xml:space="preserve">söz konusu madde, </w:t>
      </w:r>
      <w:r w:rsidR="00ED61A0" w:rsidRPr="00ED61A0">
        <w:rPr>
          <w:rFonts w:ascii="Times New Roman" w:hAnsi="Times New Roman"/>
          <w:lang w:eastAsia="tr-TR"/>
        </w:rPr>
        <w:t>birçok bölgeyi</w:t>
      </w:r>
      <w:r w:rsidR="00ED61A0">
        <w:rPr>
          <w:rFonts w:ascii="Times New Roman" w:hAnsi="Times New Roman"/>
          <w:lang w:eastAsia="tr-TR"/>
        </w:rPr>
        <w:t xml:space="preserve"> </w:t>
      </w:r>
      <w:r w:rsidR="00ED61A0" w:rsidRPr="00ED61A0">
        <w:rPr>
          <w:rFonts w:ascii="Times New Roman" w:hAnsi="Times New Roman"/>
          <w:lang w:eastAsia="tr-TR"/>
        </w:rPr>
        <w:t>ilgilendiren doğal bir felaket ya da</w:t>
      </w:r>
      <w:r w:rsidR="00ED61A0">
        <w:rPr>
          <w:rFonts w:ascii="Times New Roman" w:hAnsi="Times New Roman"/>
          <w:lang w:eastAsia="tr-TR"/>
        </w:rPr>
        <w:t xml:space="preserve"> </w:t>
      </w:r>
      <w:r w:rsidR="00ED61A0" w:rsidRPr="00ED61A0">
        <w:rPr>
          <w:rFonts w:ascii="Times New Roman" w:hAnsi="Times New Roman"/>
          <w:lang w:eastAsia="tr-TR"/>
        </w:rPr>
        <w:t xml:space="preserve">bir kaza olduğunda federal devlete </w:t>
      </w:r>
      <w:r w:rsidR="00F3529D">
        <w:rPr>
          <w:rFonts w:ascii="Times New Roman" w:hAnsi="Times New Roman"/>
          <w:lang w:eastAsia="tr-TR"/>
        </w:rPr>
        <w:t xml:space="preserve">birtakım </w:t>
      </w:r>
      <w:r w:rsidR="00ED61A0" w:rsidRPr="00ED61A0">
        <w:rPr>
          <w:rFonts w:ascii="Times New Roman" w:hAnsi="Times New Roman"/>
          <w:lang w:eastAsia="tr-TR"/>
        </w:rPr>
        <w:t>acil durum yetkileri ver</w:t>
      </w:r>
      <w:r w:rsidR="00ED61A0">
        <w:rPr>
          <w:rFonts w:ascii="Times New Roman" w:hAnsi="Times New Roman"/>
          <w:lang w:eastAsia="tr-TR"/>
        </w:rPr>
        <w:t xml:space="preserve">mektedir. </w:t>
      </w:r>
      <w:r w:rsidR="00F3529D">
        <w:rPr>
          <w:rFonts w:ascii="Times New Roman" w:hAnsi="Times New Roman"/>
          <w:lang w:eastAsia="tr-TR"/>
        </w:rPr>
        <w:t xml:space="preserve">Ancak bugüne kadar hiç uygulanmayan bu kuralın </w:t>
      </w:r>
      <w:r w:rsidR="00F3529D" w:rsidRPr="00F3529D">
        <w:rPr>
          <w:rFonts w:ascii="Times New Roman" w:hAnsi="Times New Roman"/>
          <w:lang w:eastAsia="tr-TR"/>
        </w:rPr>
        <w:t xml:space="preserve">federal </w:t>
      </w:r>
      <w:r w:rsidR="00F3529D">
        <w:rPr>
          <w:rFonts w:ascii="Times New Roman" w:hAnsi="Times New Roman"/>
          <w:lang w:eastAsia="tr-TR"/>
        </w:rPr>
        <w:t>devlete fazladan bir yetki verdiğini söylemek güçtür</w:t>
      </w:r>
      <w:r w:rsidR="00F3529D">
        <w:rPr>
          <w:rStyle w:val="FootnoteReference"/>
          <w:rFonts w:ascii="Times New Roman" w:hAnsi="Times New Roman"/>
          <w:lang w:eastAsia="tr-TR"/>
        </w:rPr>
        <w:footnoteReference w:id="14"/>
      </w:r>
      <w:r w:rsidR="00F3529D">
        <w:rPr>
          <w:rFonts w:ascii="Times New Roman" w:hAnsi="Times New Roman"/>
          <w:lang w:eastAsia="tr-TR"/>
        </w:rPr>
        <w:t xml:space="preserve">. Yine </w:t>
      </w:r>
      <w:r w:rsidR="00F3529D" w:rsidRPr="00ED61A0">
        <w:rPr>
          <w:rFonts w:ascii="Times New Roman" w:hAnsi="Times New Roman"/>
          <w:lang w:eastAsia="tr-TR"/>
        </w:rPr>
        <w:t>A</w:t>
      </w:r>
      <w:r w:rsidR="00F3529D">
        <w:rPr>
          <w:rFonts w:ascii="Times New Roman" w:hAnsi="Times New Roman"/>
          <w:lang w:eastAsia="tr-TR"/>
        </w:rPr>
        <w:t xml:space="preserve">nayasa’nın </w:t>
      </w:r>
      <w:r w:rsidR="00F3529D" w:rsidRPr="00ED61A0">
        <w:rPr>
          <w:rFonts w:ascii="Times New Roman" w:hAnsi="Times New Roman"/>
          <w:lang w:eastAsia="tr-TR"/>
        </w:rPr>
        <w:t>35</w:t>
      </w:r>
      <w:r w:rsidR="00F3529D">
        <w:rPr>
          <w:rFonts w:ascii="Times New Roman" w:hAnsi="Times New Roman"/>
          <w:lang w:eastAsia="tr-TR"/>
        </w:rPr>
        <w:t>.</w:t>
      </w:r>
      <w:r w:rsidR="00F3529D" w:rsidRPr="00ED61A0">
        <w:rPr>
          <w:rFonts w:ascii="Times New Roman" w:hAnsi="Times New Roman"/>
          <w:lang w:eastAsia="tr-TR"/>
        </w:rPr>
        <w:t>, 80</w:t>
      </w:r>
      <w:r w:rsidR="00F3529D">
        <w:rPr>
          <w:rFonts w:ascii="Times New Roman" w:hAnsi="Times New Roman"/>
          <w:lang w:eastAsia="tr-TR"/>
        </w:rPr>
        <w:t>.</w:t>
      </w:r>
      <w:r w:rsidR="00F3529D" w:rsidRPr="00ED61A0">
        <w:rPr>
          <w:rFonts w:ascii="Times New Roman" w:hAnsi="Times New Roman"/>
          <w:lang w:eastAsia="tr-TR"/>
        </w:rPr>
        <w:t xml:space="preserve"> ve 91</w:t>
      </w:r>
      <w:r w:rsidR="00F3529D">
        <w:rPr>
          <w:rFonts w:ascii="Times New Roman" w:hAnsi="Times New Roman"/>
          <w:lang w:eastAsia="tr-TR"/>
        </w:rPr>
        <w:t xml:space="preserve">. maddelerinde olağanüstü hâl durumu düzenlenmekle birlikte, </w:t>
      </w:r>
      <w:r w:rsidR="004D289D">
        <w:rPr>
          <w:rFonts w:ascii="Times New Roman" w:hAnsi="Times New Roman"/>
          <w:lang w:eastAsia="tr-TR"/>
        </w:rPr>
        <w:t xml:space="preserve">salgın döneminde </w:t>
      </w:r>
      <w:r w:rsidR="00F3529D">
        <w:rPr>
          <w:rFonts w:ascii="Times New Roman" w:hAnsi="Times New Roman"/>
          <w:lang w:eastAsia="tr-TR"/>
        </w:rPr>
        <w:t xml:space="preserve">bu yetki eyaletlere bırakılmış ve olağanüstü hâl ilanı federal düzeyde gerçekleştirilmemiştir. Dolayısıyla, Almanya’da salgın sürecinde alınan önlemlere ve dikey kuvvetler ayrılığı anlamında yetki paylaşımına ilişkin genel görünüm, </w:t>
      </w:r>
      <w:r w:rsidR="00F3529D" w:rsidRPr="00F3529D">
        <w:rPr>
          <w:rFonts w:ascii="Times New Roman" w:hAnsi="Times New Roman"/>
          <w:lang w:eastAsia="tr-TR"/>
        </w:rPr>
        <w:t>virüsle mücadele</w:t>
      </w:r>
      <w:r w:rsidR="00F3529D">
        <w:rPr>
          <w:rFonts w:ascii="Times New Roman" w:hAnsi="Times New Roman"/>
          <w:lang w:eastAsia="tr-TR"/>
        </w:rPr>
        <w:t xml:space="preserve">ye ilişkin </w:t>
      </w:r>
      <w:r w:rsidR="00F3529D" w:rsidRPr="00F3529D">
        <w:rPr>
          <w:rFonts w:ascii="Times New Roman" w:hAnsi="Times New Roman"/>
          <w:lang w:eastAsia="tr-TR"/>
        </w:rPr>
        <w:t>kapsamlı önlemler üzerinde anlaşabil</w:t>
      </w:r>
      <w:r w:rsidR="00F3529D">
        <w:rPr>
          <w:rFonts w:ascii="Times New Roman" w:hAnsi="Times New Roman"/>
          <w:lang w:eastAsia="tr-TR"/>
        </w:rPr>
        <w:t xml:space="preserve">en ve birlikte </w:t>
      </w:r>
      <w:r w:rsidR="00F3529D" w:rsidRPr="00F3529D">
        <w:rPr>
          <w:rFonts w:ascii="Times New Roman" w:hAnsi="Times New Roman"/>
          <w:lang w:eastAsia="tr-TR"/>
        </w:rPr>
        <w:t xml:space="preserve">iyi </w:t>
      </w:r>
      <w:r w:rsidR="00F3529D">
        <w:rPr>
          <w:rFonts w:ascii="Times New Roman" w:hAnsi="Times New Roman"/>
          <w:lang w:eastAsia="tr-TR"/>
        </w:rPr>
        <w:t xml:space="preserve">ve uyumlu </w:t>
      </w:r>
      <w:r w:rsidR="00F3529D" w:rsidRPr="00F3529D">
        <w:rPr>
          <w:rFonts w:ascii="Times New Roman" w:hAnsi="Times New Roman"/>
          <w:lang w:eastAsia="tr-TR"/>
        </w:rPr>
        <w:t>çalış</w:t>
      </w:r>
      <w:r w:rsidR="00F3529D">
        <w:rPr>
          <w:rFonts w:ascii="Times New Roman" w:hAnsi="Times New Roman"/>
          <w:lang w:eastAsia="tr-TR"/>
        </w:rPr>
        <w:t>an bir federal sistem mekanizmasının varlığıdır</w:t>
      </w:r>
      <w:r w:rsidR="00F45F4C">
        <w:rPr>
          <w:rFonts w:ascii="Times New Roman" w:hAnsi="Times New Roman"/>
          <w:lang w:eastAsia="tr-TR"/>
        </w:rPr>
        <w:t>. Bu süreçte, yasama ve yürütme arasındaki yetki paylaşımına ilişkin de aynı saptamayı yapmak mümkündür. Öyle ki, h</w:t>
      </w:r>
      <w:r w:rsidR="00F45F4C" w:rsidRPr="00F45F4C">
        <w:rPr>
          <w:rFonts w:ascii="Times New Roman" w:hAnsi="Times New Roman"/>
          <w:lang w:eastAsia="tr-TR"/>
        </w:rPr>
        <w:t>ükümet, parlamentodan aldığı yetkilerle önlemler</w:t>
      </w:r>
      <w:r w:rsidR="004D289D">
        <w:rPr>
          <w:rFonts w:ascii="Times New Roman" w:hAnsi="Times New Roman"/>
          <w:lang w:eastAsia="tr-TR"/>
        </w:rPr>
        <w:t xml:space="preserve">i uygulamış </w:t>
      </w:r>
      <w:r w:rsidR="00F45F4C">
        <w:rPr>
          <w:rFonts w:ascii="Times New Roman" w:hAnsi="Times New Roman"/>
          <w:lang w:eastAsia="tr-TR"/>
        </w:rPr>
        <w:t>ve salgın süresince parlamentonun işlev</w:t>
      </w:r>
      <w:r w:rsidR="004D289D">
        <w:rPr>
          <w:rFonts w:ascii="Times New Roman" w:hAnsi="Times New Roman"/>
          <w:lang w:eastAsia="tr-TR"/>
        </w:rPr>
        <w:t>ine devam edebilmesi</w:t>
      </w:r>
      <w:r w:rsidR="00F45F4C">
        <w:rPr>
          <w:rFonts w:ascii="Times New Roman" w:hAnsi="Times New Roman"/>
          <w:lang w:eastAsia="tr-TR"/>
        </w:rPr>
        <w:t xml:space="preserve"> için çeşitli geçici düzenlemeler kaleme almıştır. Örneğin, parlamentonun Covid-19 önlemleri kapsamında daha güvenli olarak toplanabilmesini ve karar alabilmesini sağlamak için yeter sayıları yeniden düzenlemiş, böylece tüm önlemlerin parlamentonun onayından geçmesine ve yasama organının işlevsel biçimde çalışabilmesine olanak sağlanmıştır</w:t>
      </w:r>
      <w:r w:rsidR="00F45F4C">
        <w:rPr>
          <w:rStyle w:val="FootnoteReference"/>
          <w:rFonts w:ascii="Times New Roman" w:hAnsi="Times New Roman"/>
          <w:lang w:eastAsia="tr-TR"/>
        </w:rPr>
        <w:footnoteReference w:id="15"/>
      </w:r>
      <w:r w:rsidR="00F45F4C">
        <w:rPr>
          <w:rFonts w:ascii="Times New Roman" w:hAnsi="Times New Roman"/>
          <w:lang w:eastAsia="tr-TR"/>
        </w:rPr>
        <w:t>.</w:t>
      </w:r>
    </w:p>
    <w:p w14:paraId="6BC335A0" w14:textId="23A8878F" w:rsidR="00A443F4" w:rsidRPr="009A0890" w:rsidRDefault="00A443F4" w:rsidP="00503EB4">
      <w:pPr>
        <w:jc w:val="both"/>
        <w:rPr>
          <w:rFonts w:ascii="Times New Roman" w:hAnsi="Times New Roman"/>
          <w:lang w:eastAsia="tr-TR"/>
        </w:rPr>
      </w:pPr>
      <w:r>
        <w:rPr>
          <w:rFonts w:ascii="Times New Roman" w:hAnsi="Times New Roman"/>
          <w:lang w:eastAsia="tr-TR"/>
        </w:rPr>
        <w:tab/>
      </w:r>
      <w:r w:rsidRPr="009A0890">
        <w:rPr>
          <w:rFonts w:ascii="Times New Roman" w:hAnsi="Times New Roman"/>
          <w:lang w:eastAsia="tr-TR"/>
        </w:rPr>
        <w:t xml:space="preserve">Federal sistem ABD’de de Covid-19 ile mücadelede önemli bir mekanizma olarak görülmüştür. Eyaletlerin ayrı bir kolluk gücüne sahip olmaları ve onlara verilen sağlık ve güvenliği koruma ve düzenleme yetkisi salgın yönetiminde etkin biçimde rol alabilmelerini sağlamıştır. </w:t>
      </w:r>
      <w:r w:rsidR="00640A24" w:rsidRPr="009A0890">
        <w:rPr>
          <w:rFonts w:ascii="Times New Roman" w:hAnsi="Times New Roman"/>
          <w:lang w:eastAsia="tr-TR"/>
        </w:rPr>
        <w:t xml:space="preserve">Bu anlamda, </w:t>
      </w:r>
      <w:r w:rsidRPr="009A0890">
        <w:rPr>
          <w:rFonts w:ascii="Times New Roman" w:hAnsi="Times New Roman"/>
          <w:lang w:eastAsia="tr-TR"/>
        </w:rPr>
        <w:t xml:space="preserve">federe devletler, Covid-19 </w:t>
      </w:r>
      <w:proofErr w:type="spellStart"/>
      <w:r w:rsidRPr="009A0890">
        <w:rPr>
          <w:rFonts w:ascii="Times New Roman" w:hAnsi="Times New Roman"/>
          <w:lang w:eastAsia="tr-TR"/>
        </w:rPr>
        <w:t>pandemisinde</w:t>
      </w:r>
      <w:proofErr w:type="spellEnd"/>
      <w:r w:rsidRPr="009A0890">
        <w:rPr>
          <w:rFonts w:ascii="Times New Roman" w:hAnsi="Times New Roman"/>
          <w:lang w:eastAsia="tr-TR"/>
        </w:rPr>
        <w:t xml:space="preserve"> izlenen politikaların ve müdahalelerin birincil aktörleri</w:t>
      </w:r>
      <w:r w:rsidR="00F726C7" w:rsidRPr="009A0890">
        <w:rPr>
          <w:rFonts w:ascii="Times New Roman" w:hAnsi="Times New Roman"/>
          <w:lang w:eastAsia="tr-TR"/>
        </w:rPr>
        <w:t xml:space="preserve"> olmuş</w:t>
      </w:r>
      <w:r w:rsidRPr="009A0890">
        <w:rPr>
          <w:rFonts w:ascii="Times New Roman" w:hAnsi="Times New Roman"/>
          <w:lang w:eastAsia="tr-TR"/>
        </w:rPr>
        <w:t xml:space="preserve"> ve çözümleri de çeşitl</w:t>
      </w:r>
      <w:r w:rsidR="00F726C7" w:rsidRPr="009A0890">
        <w:rPr>
          <w:rFonts w:ascii="Times New Roman" w:hAnsi="Times New Roman"/>
          <w:lang w:eastAsia="tr-TR"/>
        </w:rPr>
        <w:t>ilik arz etmiştir</w:t>
      </w:r>
      <w:r w:rsidRPr="009A0890">
        <w:rPr>
          <w:rFonts w:ascii="Times New Roman" w:hAnsi="Times New Roman"/>
          <w:lang w:eastAsia="tr-TR"/>
        </w:rPr>
        <w:t>.</w:t>
      </w:r>
      <w:r w:rsidR="00F726C7" w:rsidRPr="009A0890">
        <w:rPr>
          <w:rFonts w:ascii="Times New Roman" w:hAnsi="Times New Roman"/>
          <w:lang w:eastAsia="tr-TR"/>
        </w:rPr>
        <w:t xml:space="preserve"> Öyle ki</w:t>
      </w:r>
      <w:r w:rsidRPr="009A0890">
        <w:rPr>
          <w:rFonts w:ascii="Times New Roman" w:hAnsi="Times New Roman"/>
          <w:lang w:eastAsia="tr-TR"/>
        </w:rPr>
        <w:t>, Kaliforniya gibi oldukça büyük eyaletlerde dahi tepkinin erken ve güçlü olmasının nedeni olarak da bu yetki paylaşımı gösteril</w:t>
      </w:r>
      <w:r w:rsidR="00F726C7" w:rsidRPr="009A0890">
        <w:rPr>
          <w:rFonts w:ascii="Times New Roman" w:hAnsi="Times New Roman"/>
          <w:lang w:eastAsia="tr-TR"/>
        </w:rPr>
        <w:t>mektedir</w:t>
      </w:r>
      <w:r w:rsidRPr="009A0890">
        <w:rPr>
          <w:rStyle w:val="FootnoteReference"/>
          <w:rFonts w:ascii="Times New Roman" w:hAnsi="Times New Roman"/>
          <w:lang w:eastAsia="tr-TR"/>
        </w:rPr>
        <w:footnoteReference w:id="16"/>
      </w:r>
      <w:r w:rsidRPr="009A0890">
        <w:rPr>
          <w:rFonts w:ascii="Times New Roman" w:hAnsi="Times New Roman"/>
          <w:lang w:eastAsia="tr-TR"/>
        </w:rPr>
        <w:t>.</w:t>
      </w:r>
      <w:r w:rsidR="00F726C7" w:rsidRPr="009A0890">
        <w:rPr>
          <w:rFonts w:ascii="Times New Roman" w:hAnsi="Times New Roman"/>
          <w:lang w:eastAsia="tr-TR"/>
        </w:rPr>
        <w:t xml:space="preserve"> Buna karşılık, federal hükümet ile eyalet hükümetleri, federe ve federal düzeydeki mahkemeler, yasama organları ve halk</w:t>
      </w:r>
      <w:r w:rsidR="00C76A39" w:rsidRPr="009A0890">
        <w:rPr>
          <w:rFonts w:ascii="Times New Roman" w:hAnsi="Times New Roman"/>
          <w:lang w:eastAsia="tr-TR"/>
        </w:rPr>
        <w:t xml:space="preserve"> arasında anayasal düzeyde salgına nasıl yanıt verileceğine ilişkin </w:t>
      </w:r>
      <w:r w:rsidR="00F726C7" w:rsidRPr="009A0890">
        <w:rPr>
          <w:rFonts w:ascii="Times New Roman" w:hAnsi="Times New Roman"/>
          <w:lang w:eastAsia="tr-TR"/>
        </w:rPr>
        <w:t>uzun görüşme</w:t>
      </w:r>
      <w:r w:rsidR="00C76A39" w:rsidRPr="009A0890">
        <w:rPr>
          <w:rFonts w:ascii="Times New Roman" w:hAnsi="Times New Roman"/>
          <w:lang w:eastAsia="tr-TR"/>
        </w:rPr>
        <w:t xml:space="preserve">ler </w:t>
      </w:r>
      <w:r w:rsidR="00F726C7" w:rsidRPr="009A0890">
        <w:rPr>
          <w:rFonts w:ascii="Times New Roman" w:hAnsi="Times New Roman"/>
          <w:lang w:eastAsia="tr-TR"/>
        </w:rPr>
        <w:t>yap</w:t>
      </w:r>
      <w:r w:rsidR="00C76A39" w:rsidRPr="009A0890">
        <w:rPr>
          <w:rFonts w:ascii="Times New Roman" w:hAnsi="Times New Roman"/>
          <w:lang w:eastAsia="tr-TR"/>
        </w:rPr>
        <w:t xml:space="preserve">ılmış olmasının </w:t>
      </w:r>
      <w:r w:rsidR="00640A24" w:rsidRPr="009A0890">
        <w:rPr>
          <w:rFonts w:ascii="Times New Roman" w:hAnsi="Times New Roman"/>
          <w:lang w:eastAsia="tr-TR"/>
        </w:rPr>
        <w:lastRenderedPageBreak/>
        <w:t xml:space="preserve">siyasal iktidarlara duyulan güvensizliğin ve </w:t>
      </w:r>
      <w:r w:rsidR="004D289D">
        <w:rPr>
          <w:rFonts w:ascii="Times New Roman" w:hAnsi="Times New Roman"/>
          <w:lang w:eastAsia="tr-TR"/>
        </w:rPr>
        <w:t xml:space="preserve">toplumda </w:t>
      </w:r>
      <w:r w:rsidR="00640A24" w:rsidRPr="009A0890">
        <w:rPr>
          <w:rFonts w:ascii="Times New Roman" w:hAnsi="Times New Roman"/>
          <w:lang w:eastAsia="tr-TR"/>
        </w:rPr>
        <w:t>komplo teorilerin</w:t>
      </w:r>
      <w:r w:rsidR="004D289D">
        <w:rPr>
          <w:rFonts w:ascii="Times New Roman" w:hAnsi="Times New Roman"/>
          <w:lang w:eastAsia="tr-TR"/>
        </w:rPr>
        <w:t xml:space="preserve">e </w:t>
      </w:r>
      <w:r w:rsidR="00640A24" w:rsidRPr="009A0890">
        <w:rPr>
          <w:rFonts w:ascii="Times New Roman" w:hAnsi="Times New Roman"/>
          <w:lang w:eastAsia="tr-TR"/>
        </w:rPr>
        <w:t xml:space="preserve">yaslanan bir anlayışın </w:t>
      </w:r>
      <w:r w:rsidR="004D289D">
        <w:rPr>
          <w:rFonts w:ascii="Times New Roman" w:hAnsi="Times New Roman"/>
          <w:lang w:eastAsia="tr-TR"/>
        </w:rPr>
        <w:t xml:space="preserve">varlığının bir </w:t>
      </w:r>
      <w:r w:rsidR="00640A24" w:rsidRPr="009A0890">
        <w:rPr>
          <w:rFonts w:ascii="Times New Roman" w:hAnsi="Times New Roman"/>
          <w:lang w:eastAsia="tr-TR"/>
        </w:rPr>
        <w:t xml:space="preserve">göstergesi olduğu ifade edilerek, bu nedenle söz konusu yaklaşımın </w:t>
      </w:r>
      <w:r w:rsidR="00F726C7" w:rsidRPr="009A0890">
        <w:rPr>
          <w:rFonts w:ascii="Times New Roman" w:hAnsi="Times New Roman"/>
          <w:lang w:eastAsia="tr-TR"/>
        </w:rPr>
        <w:t xml:space="preserve">çok </w:t>
      </w:r>
      <w:r w:rsidR="00C76A39" w:rsidRPr="009A0890">
        <w:rPr>
          <w:rFonts w:ascii="Times New Roman" w:hAnsi="Times New Roman"/>
          <w:lang w:eastAsia="tr-TR"/>
        </w:rPr>
        <w:t xml:space="preserve">da </w:t>
      </w:r>
      <w:r w:rsidR="00F726C7" w:rsidRPr="009A0890">
        <w:rPr>
          <w:rFonts w:ascii="Times New Roman" w:hAnsi="Times New Roman"/>
          <w:lang w:eastAsia="tr-TR"/>
        </w:rPr>
        <w:t xml:space="preserve">iyi bir </w:t>
      </w:r>
      <w:r w:rsidR="00C76A39" w:rsidRPr="009A0890">
        <w:rPr>
          <w:rFonts w:ascii="Times New Roman" w:hAnsi="Times New Roman"/>
          <w:lang w:eastAsia="tr-TR"/>
        </w:rPr>
        <w:t>‘</w:t>
      </w:r>
      <w:r w:rsidR="00F726C7" w:rsidRPr="009A0890">
        <w:rPr>
          <w:rFonts w:ascii="Times New Roman" w:hAnsi="Times New Roman"/>
          <w:lang w:eastAsia="tr-TR"/>
        </w:rPr>
        <w:t>reklam</w:t>
      </w:r>
      <w:r w:rsidR="00C76A39" w:rsidRPr="009A0890">
        <w:rPr>
          <w:rFonts w:ascii="Times New Roman" w:hAnsi="Times New Roman"/>
          <w:lang w:eastAsia="tr-TR"/>
        </w:rPr>
        <w:t>’ olmadığı savunulmaktadır</w:t>
      </w:r>
      <w:r w:rsidR="00C76A39" w:rsidRPr="009A0890">
        <w:rPr>
          <w:rStyle w:val="FootnoteReference"/>
          <w:rFonts w:ascii="Times New Roman" w:hAnsi="Times New Roman"/>
          <w:lang w:eastAsia="tr-TR"/>
        </w:rPr>
        <w:footnoteReference w:id="17"/>
      </w:r>
      <w:r w:rsidR="00C76A39" w:rsidRPr="009A0890">
        <w:rPr>
          <w:rFonts w:ascii="Times New Roman" w:hAnsi="Times New Roman"/>
          <w:lang w:eastAsia="tr-TR"/>
        </w:rPr>
        <w:t xml:space="preserve">. </w:t>
      </w:r>
      <w:r w:rsidR="00640A24" w:rsidRPr="009A0890">
        <w:rPr>
          <w:rFonts w:ascii="Times New Roman" w:hAnsi="Times New Roman"/>
          <w:lang w:eastAsia="tr-TR"/>
        </w:rPr>
        <w:t xml:space="preserve">Gerçekten de özellikle gelen tepkiler sonucunda, birtakım </w:t>
      </w:r>
      <w:r w:rsidR="00C76A39" w:rsidRPr="009A0890">
        <w:rPr>
          <w:rFonts w:ascii="Times New Roman" w:hAnsi="Times New Roman"/>
          <w:lang w:eastAsia="tr-TR"/>
        </w:rPr>
        <w:t>çıkar ve baskı grupları</w:t>
      </w:r>
      <w:r w:rsidR="00640A24" w:rsidRPr="009A0890">
        <w:rPr>
          <w:rFonts w:ascii="Times New Roman" w:hAnsi="Times New Roman"/>
          <w:lang w:eastAsia="tr-TR"/>
        </w:rPr>
        <w:t xml:space="preserve"> kısıtlamalardan muaf tutulmuştur</w:t>
      </w:r>
      <w:r w:rsidR="00C76A39" w:rsidRPr="009A0890">
        <w:rPr>
          <w:rFonts w:ascii="Times New Roman" w:hAnsi="Times New Roman"/>
          <w:lang w:eastAsia="tr-TR"/>
        </w:rPr>
        <w:t xml:space="preserve">. </w:t>
      </w:r>
      <w:r w:rsidR="009A0890" w:rsidRPr="009A0890">
        <w:rPr>
          <w:rFonts w:ascii="Times New Roman" w:hAnsi="Times New Roman"/>
          <w:lang w:eastAsia="tr-TR"/>
        </w:rPr>
        <w:t xml:space="preserve">Bu kapsamda, ABD’de salgınla mücadelede karşılaşılan en büyük zorluklardan birinin ekonomik, siyasi ve dini birtakım topluluklardan gelen tepkiler olduğunu </w:t>
      </w:r>
      <w:r w:rsidR="004D289D">
        <w:rPr>
          <w:rFonts w:ascii="Times New Roman" w:hAnsi="Times New Roman"/>
          <w:lang w:eastAsia="tr-TR"/>
        </w:rPr>
        <w:t>not etmek gerekir</w:t>
      </w:r>
      <w:r w:rsidR="009A0890" w:rsidRPr="009A0890">
        <w:rPr>
          <w:rFonts w:ascii="Times New Roman" w:hAnsi="Times New Roman"/>
          <w:lang w:eastAsia="tr-TR"/>
        </w:rPr>
        <w:t xml:space="preserve">. </w:t>
      </w:r>
      <w:r w:rsidR="00C76A39" w:rsidRPr="009A0890">
        <w:rPr>
          <w:rFonts w:ascii="Times New Roman" w:hAnsi="Times New Roman"/>
          <w:lang w:eastAsia="tr-TR"/>
        </w:rPr>
        <w:t xml:space="preserve">Örneğin, yetkililer ve halk arasında sürdürülen bu diyalog sonucunda silah satış yerleri gibi ülkede ekonomik </w:t>
      </w:r>
      <w:r w:rsidR="004D289D">
        <w:rPr>
          <w:rFonts w:ascii="Times New Roman" w:hAnsi="Times New Roman"/>
          <w:lang w:eastAsia="tr-TR"/>
        </w:rPr>
        <w:t xml:space="preserve">ve siyasi </w:t>
      </w:r>
      <w:r w:rsidR="00C76A39" w:rsidRPr="009A0890">
        <w:rPr>
          <w:rFonts w:ascii="Times New Roman" w:hAnsi="Times New Roman"/>
          <w:lang w:eastAsia="tr-TR"/>
        </w:rPr>
        <w:t>anlamda söz sahibi olan bazı işyerlerine özel statüler</w:t>
      </w:r>
      <w:r w:rsidR="004D289D">
        <w:rPr>
          <w:rFonts w:ascii="Times New Roman" w:hAnsi="Times New Roman"/>
          <w:lang w:eastAsia="tr-TR"/>
        </w:rPr>
        <w:t xml:space="preserve"> </w:t>
      </w:r>
      <w:r w:rsidR="00C76A39" w:rsidRPr="009A0890">
        <w:rPr>
          <w:rFonts w:ascii="Times New Roman" w:hAnsi="Times New Roman"/>
          <w:lang w:eastAsia="tr-TR"/>
        </w:rPr>
        <w:t>veril</w:t>
      </w:r>
      <w:r w:rsidR="00640A24" w:rsidRPr="009A0890">
        <w:rPr>
          <w:rFonts w:ascii="Times New Roman" w:hAnsi="Times New Roman"/>
          <w:lang w:eastAsia="tr-TR"/>
        </w:rPr>
        <w:t>miş</w:t>
      </w:r>
      <w:r w:rsidR="00C76A39" w:rsidRPr="009A0890">
        <w:rPr>
          <w:rFonts w:ascii="Times New Roman" w:hAnsi="Times New Roman"/>
          <w:lang w:eastAsia="tr-TR"/>
        </w:rPr>
        <w:t xml:space="preserve"> </w:t>
      </w:r>
      <w:r w:rsidR="00640A24" w:rsidRPr="009A0890">
        <w:rPr>
          <w:rFonts w:ascii="Times New Roman" w:hAnsi="Times New Roman"/>
          <w:lang w:eastAsia="tr-TR"/>
        </w:rPr>
        <w:t>ve tam kapanma dönemlerinde de açık kalmaları sağlanmıştır</w:t>
      </w:r>
      <w:r w:rsidR="00640A24" w:rsidRPr="009A0890">
        <w:rPr>
          <w:rStyle w:val="FootnoteReference"/>
          <w:rFonts w:ascii="Times New Roman" w:hAnsi="Times New Roman"/>
          <w:lang w:eastAsia="tr-TR"/>
        </w:rPr>
        <w:footnoteReference w:id="18"/>
      </w:r>
      <w:r w:rsidR="00C76A39" w:rsidRPr="009A0890">
        <w:rPr>
          <w:rFonts w:ascii="Times New Roman" w:hAnsi="Times New Roman"/>
          <w:lang w:eastAsia="tr-TR"/>
        </w:rPr>
        <w:t>.</w:t>
      </w:r>
      <w:r w:rsidR="00640A24" w:rsidRPr="009A0890">
        <w:rPr>
          <w:rFonts w:ascii="Times New Roman" w:hAnsi="Times New Roman"/>
          <w:lang w:eastAsia="tr-TR"/>
        </w:rPr>
        <w:t xml:space="preserve"> </w:t>
      </w:r>
      <w:r w:rsidR="009A0890" w:rsidRPr="009A0890">
        <w:rPr>
          <w:rFonts w:ascii="Times New Roman" w:hAnsi="Times New Roman"/>
          <w:lang w:eastAsia="tr-TR"/>
        </w:rPr>
        <w:t xml:space="preserve">Dolayısıyla, ABD’de salgına verilen yanıtın ve alınan tedbirlerin siyasal iktidarın şu anki durumuna uygun olarak </w:t>
      </w:r>
      <w:proofErr w:type="spellStart"/>
      <w:r w:rsidR="009A0890" w:rsidRPr="009A0890">
        <w:rPr>
          <w:rFonts w:ascii="Times New Roman" w:hAnsi="Times New Roman"/>
          <w:lang w:eastAsia="tr-TR"/>
        </w:rPr>
        <w:t>politize</w:t>
      </w:r>
      <w:proofErr w:type="spellEnd"/>
      <w:r w:rsidR="009A0890" w:rsidRPr="009A0890">
        <w:rPr>
          <w:rFonts w:ascii="Times New Roman" w:hAnsi="Times New Roman"/>
          <w:lang w:eastAsia="tr-TR"/>
        </w:rPr>
        <w:t xml:space="preserve"> edildiğini not etmek gerekir</w:t>
      </w:r>
      <w:r w:rsidR="009A0890" w:rsidRPr="009A0890">
        <w:rPr>
          <w:rStyle w:val="FootnoteReference"/>
          <w:rFonts w:ascii="Times New Roman" w:hAnsi="Times New Roman"/>
          <w:lang w:eastAsia="tr-TR"/>
        </w:rPr>
        <w:footnoteReference w:id="19"/>
      </w:r>
      <w:r w:rsidR="009A0890" w:rsidRPr="009A0890">
        <w:rPr>
          <w:rFonts w:ascii="Times New Roman" w:hAnsi="Times New Roman"/>
          <w:lang w:eastAsia="tr-TR"/>
        </w:rPr>
        <w:t xml:space="preserve">. Bu noktada, ABD özelinde hukuki mekanizmaların belki de bu nedenle </w:t>
      </w:r>
      <w:proofErr w:type="spellStart"/>
      <w:r w:rsidR="009A0890" w:rsidRPr="009A0890">
        <w:rPr>
          <w:rFonts w:ascii="Times New Roman" w:hAnsi="Times New Roman"/>
          <w:lang w:eastAsia="tr-TR"/>
        </w:rPr>
        <w:t>araçsallaştırıldığını</w:t>
      </w:r>
      <w:proofErr w:type="spellEnd"/>
      <w:r w:rsidR="009A0890" w:rsidRPr="009A0890">
        <w:rPr>
          <w:rFonts w:ascii="Times New Roman" w:hAnsi="Times New Roman"/>
          <w:lang w:eastAsia="tr-TR"/>
        </w:rPr>
        <w:t xml:space="preserve"> düşünmek de mümkündür.</w:t>
      </w:r>
    </w:p>
    <w:p w14:paraId="32ECE558" w14:textId="1A62CA1C" w:rsidR="00360A4F" w:rsidRDefault="00F45F4C" w:rsidP="00503EB4">
      <w:pPr>
        <w:jc w:val="both"/>
        <w:rPr>
          <w:rFonts w:ascii="Times New Roman" w:hAnsi="Times New Roman"/>
          <w:lang w:eastAsia="tr-TR"/>
        </w:rPr>
      </w:pPr>
      <w:r>
        <w:rPr>
          <w:rFonts w:ascii="Times New Roman" w:hAnsi="Times New Roman"/>
          <w:lang w:eastAsia="tr-TR"/>
        </w:rPr>
        <w:tab/>
        <w:t xml:space="preserve">Dikey ve yatay düzeyde kuvvetler ayrılığı anlamında tartışmaların doğduğu bir </w:t>
      </w:r>
      <w:r w:rsidR="00F16B5A">
        <w:rPr>
          <w:rFonts w:ascii="Times New Roman" w:hAnsi="Times New Roman"/>
          <w:lang w:eastAsia="tr-TR"/>
        </w:rPr>
        <w:t>diğer Avrupa Birliği üye ülkesi Belçika</w:t>
      </w:r>
      <w:r w:rsidR="00252B13">
        <w:rPr>
          <w:rFonts w:ascii="Times New Roman" w:hAnsi="Times New Roman"/>
          <w:lang w:eastAsia="tr-TR"/>
        </w:rPr>
        <w:t>’</w:t>
      </w:r>
      <w:r w:rsidR="00F16B5A">
        <w:rPr>
          <w:rFonts w:ascii="Times New Roman" w:hAnsi="Times New Roman"/>
          <w:lang w:eastAsia="tr-TR"/>
        </w:rPr>
        <w:t xml:space="preserve">dır. Bu tartışmalardan biri </w:t>
      </w:r>
      <w:r w:rsidR="00F16B5A" w:rsidRPr="00F16B5A">
        <w:rPr>
          <w:rFonts w:ascii="Times New Roman" w:hAnsi="Times New Roman"/>
          <w:lang w:eastAsia="tr-TR"/>
        </w:rPr>
        <w:t xml:space="preserve">İçişleri Bakanına </w:t>
      </w:r>
      <w:r w:rsidR="00F16B5A">
        <w:rPr>
          <w:rFonts w:ascii="Times New Roman" w:hAnsi="Times New Roman"/>
          <w:lang w:eastAsia="tr-TR"/>
        </w:rPr>
        <w:t>f</w:t>
      </w:r>
      <w:r w:rsidR="00F16B5A" w:rsidRPr="00F16B5A">
        <w:rPr>
          <w:rFonts w:ascii="Times New Roman" w:hAnsi="Times New Roman"/>
          <w:lang w:eastAsia="tr-TR"/>
        </w:rPr>
        <w:t>ederal düzeyde verilen yetki</w:t>
      </w:r>
      <w:r w:rsidR="00F16B5A">
        <w:rPr>
          <w:rFonts w:ascii="Times New Roman" w:hAnsi="Times New Roman"/>
          <w:lang w:eastAsia="tr-TR"/>
        </w:rPr>
        <w:t xml:space="preserve">lerin </w:t>
      </w:r>
      <w:r w:rsidR="00F16B5A" w:rsidRPr="00F16B5A">
        <w:rPr>
          <w:rFonts w:ascii="Times New Roman" w:hAnsi="Times New Roman"/>
          <w:lang w:eastAsia="tr-TR"/>
        </w:rPr>
        <w:t>kapsamı</w:t>
      </w:r>
      <w:r w:rsidR="00F16B5A">
        <w:rPr>
          <w:rFonts w:ascii="Times New Roman" w:hAnsi="Times New Roman"/>
          <w:lang w:eastAsia="tr-TR"/>
        </w:rPr>
        <w:t xml:space="preserve">nın </w:t>
      </w:r>
      <w:r w:rsidR="00F16B5A" w:rsidRPr="00F16B5A">
        <w:rPr>
          <w:rFonts w:ascii="Times New Roman" w:hAnsi="Times New Roman"/>
          <w:lang w:eastAsia="tr-TR"/>
        </w:rPr>
        <w:t xml:space="preserve">açık </w:t>
      </w:r>
      <w:r w:rsidR="00F16B5A">
        <w:rPr>
          <w:rFonts w:ascii="Times New Roman" w:hAnsi="Times New Roman"/>
          <w:lang w:eastAsia="tr-TR"/>
        </w:rPr>
        <w:t xml:space="preserve">olup olmadığı ve bu yetkilerin salgına yönelik </w:t>
      </w:r>
      <w:r w:rsidR="00F16B5A" w:rsidRPr="00F16B5A">
        <w:rPr>
          <w:rFonts w:ascii="Times New Roman" w:hAnsi="Times New Roman"/>
          <w:lang w:eastAsia="tr-TR"/>
        </w:rPr>
        <w:t>önlem</w:t>
      </w:r>
      <w:r w:rsidR="00F16B5A">
        <w:rPr>
          <w:rFonts w:ascii="Times New Roman" w:hAnsi="Times New Roman"/>
          <w:lang w:eastAsia="tr-TR"/>
        </w:rPr>
        <w:t xml:space="preserve"> alabilmeyi de kapsayıp kapsamadığıdır. </w:t>
      </w:r>
      <w:r w:rsidR="00F16B5A" w:rsidRPr="00F16B5A">
        <w:rPr>
          <w:rFonts w:ascii="Times New Roman" w:hAnsi="Times New Roman"/>
          <w:lang w:eastAsia="tr-TR"/>
        </w:rPr>
        <w:t>İlke</w:t>
      </w:r>
      <w:r w:rsidR="00F16B5A">
        <w:rPr>
          <w:rFonts w:ascii="Times New Roman" w:hAnsi="Times New Roman"/>
          <w:lang w:eastAsia="tr-TR"/>
        </w:rPr>
        <w:t>sel</w:t>
      </w:r>
      <w:r w:rsidR="00F16B5A" w:rsidRPr="00F16B5A">
        <w:rPr>
          <w:rFonts w:ascii="Times New Roman" w:hAnsi="Times New Roman"/>
          <w:lang w:eastAsia="tr-TR"/>
        </w:rPr>
        <w:t xml:space="preserve"> olarak, </w:t>
      </w:r>
      <w:r w:rsidR="00F16B5A">
        <w:rPr>
          <w:rFonts w:ascii="Times New Roman" w:hAnsi="Times New Roman"/>
          <w:lang w:eastAsia="tr-TR"/>
        </w:rPr>
        <w:t>t</w:t>
      </w:r>
      <w:r w:rsidR="00F16B5A" w:rsidRPr="00F16B5A">
        <w:rPr>
          <w:rFonts w:ascii="Times New Roman" w:hAnsi="Times New Roman"/>
          <w:lang w:eastAsia="tr-TR"/>
        </w:rPr>
        <w:t>emel haklara yönelik sınırlamalar yasama organı tarafından kabul edilmeli ve bu yetkilerin değil tek bir bakana, tüm Kabineye devredilme seçenekleri dahi sınırlı olmalıdır</w:t>
      </w:r>
      <w:r w:rsidR="00F16B5A">
        <w:rPr>
          <w:rStyle w:val="FootnoteReference"/>
          <w:rFonts w:ascii="Times New Roman" w:hAnsi="Times New Roman"/>
          <w:lang w:eastAsia="tr-TR"/>
        </w:rPr>
        <w:footnoteReference w:id="20"/>
      </w:r>
      <w:r w:rsidR="00F16B5A" w:rsidRPr="00F16B5A">
        <w:rPr>
          <w:rFonts w:ascii="Times New Roman" w:hAnsi="Times New Roman"/>
          <w:lang w:eastAsia="tr-TR"/>
        </w:rPr>
        <w:t>. Bun</w:t>
      </w:r>
      <w:r w:rsidR="00F16B5A">
        <w:rPr>
          <w:rFonts w:ascii="Times New Roman" w:hAnsi="Times New Roman"/>
          <w:lang w:eastAsia="tr-TR"/>
        </w:rPr>
        <w:t xml:space="preserve">a karşılık, Belçika’da çeşitli </w:t>
      </w:r>
      <w:r w:rsidR="00F16B5A" w:rsidRPr="00F16B5A">
        <w:rPr>
          <w:rFonts w:ascii="Times New Roman" w:hAnsi="Times New Roman"/>
          <w:lang w:eastAsia="tr-TR"/>
        </w:rPr>
        <w:t>kısıtlama önlemleri</w:t>
      </w:r>
      <w:r w:rsidR="00F16B5A">
        <w:rPr>
          <w:rFonts w:ascii="Times New Roman" w:hAnsi="Times New Roman"/>
          <w:lang w:eastAsia="tr-TR"/>
        </w:rPr>
        <w:t xml:space="preserve"> </w:t>
      </w:r>
      <w:r w:rsidR="00F16B5A" w:rsidRPr="00F16B5A">
        <w:rPr>
          <w:rFonts w:ascii="Times New Roman" w:hAnsi="Times New Roman"/>
          <w:lang w:eastAsia="tr-TR"/>
        </w:rPr>
        <w:t xml:space="preserve">kabinede görüşüldükten sonra </w:t>
      </w:r>
      <w:r w:rsidR="00F16B5A">
        <w:rPr>
          <w:rFonts w:ascii="Times New Roman" w:hAnsi="Times New Roman"/>
          <w:lang w:eastAsia="tr-TR"/>
        </w:rPr>
        <w:t>alınmış ve Bakanlık kararnameleriyle gerçekleştirilmiştir</w:t>
      </w:r>
      <w:r w:rsidR="00F16B5A">
        <w:rPr>
          <w:rStyle w:val="FootnoteReference"/>
          <w:rFonts w:ascii="Times New Roman" w:hAnsi="Times New Roman"/>
          <w:lang w:eastAsia="tr-TR"/>
        </w:rPr>
        <w:footnoteReference w:id="21"/>
      </w:r>
      <w:r w:rsidR="00F16B5A">
        <w:rPr>
          <w:rFonts w:ascii="Times New Roman" w:hAnsi="Times New Roman"/>
          <w:lang w:eastAsia="tr-TR"/>
        </w:rPr>
        <w:t xml:space="preserve">. </w:t>
      </w:r>
      <w:r w:rsidR="009C1DFB">
        <w:rPr>
          <w:rFonts w:ascii="Times New Roman" w:hAnsi="Times New Roman"/>
          <w:lang w:eastAsia="tr-TR"/>
        </w:rPr>
        <w:t>Bu çerçevede, bir kooperatif federalizm örneği olan ülkede genel olarak f</w:t>
      </w:r>
      <w:r w:rsidR="009C1DFB" w:rsidRPr="00F16B5A">
        <w:rPr>
          <w:rFonts w:ascii="Times New Roman" w:hAnsi="Times New Roman"/>
          <w:lang w:eastAsia="tr-TR"/>
        </w:rPr>
        <w:t>edere devletlerin yetkileri, alınan önlemlerin yatay ve dikey etkisi</w:t>
      </w:r>
      <w:r w:rsidR="009C1DFB">
        <w:rPr>
          <w:rFonts w:ascii="Times New Roman" w:hAnsi="Times New Roman"/>
          <w:lang w:eastAsia="tr-TR"/>
        </w:rPr>
        <w:t xml:space="preserve">, </w:t>
      </w:r>
      <w:r w:rsidR="009C1DFB" w:rsidRPr="00F16B5A">
        <w:rPr>
          <w:rFonts w:ascii="Times New Roman" w:hAnsi="Times New Roman"/>
          <w:lang w:eastAsia="tr-TR"/>
        </w:rPr>
        <w:t>Hükümete ve özellikle İçişleri Bakanına yetki tanınmasının anayasallığı</w:t>
      </w:r>
      <w:r w:rsidR="009C1DFB">
        <w:rPr>
          <w:rFonts w:ascii="Times New Roman" w:hAnsi="Times New Roman"/>
          <w:lang w:eastAsia="tr-TR"/>
        </w:rPr>
        <w:t xml:space="preserve"> ve </w:t>
      </w:r>
      <w:r w:rsidR="009C1DFB" w:rsidRPr="00F16B5A">
        <w:rPr>
          <w:rFonts w:ascii="Times New Roman" w:hAnsi="Times New Roman"/>
          <w:lang w:eastAsia="tr-TR"/>
        </w:rPr>
        <w:t>İçişleri Bakanına federal düzeyde verilen yetkinin kapsamı</w:t>
      </w:r>
      <w:r w:rsidR="009C1DFB">
        <w:rPr>
          <w:rFonts w:ascii="Times New Roman" w:hAnsi="Times New Roman"/>
          <w:lang w:eastAsia="tr-TR"/>
        </w:rPr>
        <w:t xml:space="preserve"> gibi birtakım ana başlıkların tartışma yarattığını görmek mümkündür. Belçika’da bir diğer sorunsal ise </w:t>
      </w:r>
      <w:r w:rsidR="009C1DFB" w:rsidRPr="009C1DFB">
        <w:rPr>
          <w:rFonts w:ascii="Times New Roman" w:hAnsi="Times New Roman"/>
          <w:lang w:eastAsia="tr-TR"/>
        </w:rPr>
        <w:t>olağanüstü h</w:t>
      </w:r>
      <w:r w:rsidR="007B1006">
        <w:rPr>
          <w:rFonts w:ascii="Times New Roman" w:hAnsi="Times New Roman"/>
          <w:lang w:eastAsia="tr-TR"/>
        </w:rPr>
        <w:t>â</w:t>
      </w:r>
      <w:r w:rsidR="009C1DFB" w:rsidRPr="009C1DFB">
        <w:rPr>
          <w:rFonts w:ascii="Times New Roman" w:hAnsi="Times New Roman"/>
          <w:lang w:eastAsia="tr-TR"/>
        </w:rPr>
        <w:t>l kavramı</w:t>
      </w:r>
      <w:r w:rsidR="009C1DFB">
        <w:rPr>
          <w:rFonts w:ascii="Times New Roman" w:hAnsi="Times New Roman"/>
          <w:lang w:eastAsia="tr-TR"/>
        </w:rPr>
        <w:t>na ilişkindir. Anayasa’da olağanüstü h</w:t>
      </w:r>
      <w:r w:rsidR="007B1006">
        <w:rPr>
          <w:rFonts w:ascii="Times New Roman" w:hAnsi="Times New Roman"/>
          <w:lang w:eastAsia="tr-TR"/>
        </w:rPr>
        <w:t>â</w:t>
      </w:r>
      <w:r w:rsidR="009C1DFB">
        <w:rPr>
          <w:rFonts w:ascii="Times New Roman" w:hAnsi="Times New Roman"/>
          <w:lang w:eastAsia="tr-TR"/>
        </w:rPr>
        <w:t>l kavramı düzenlenmemekle birlikte</w:t>
      </w:r>
      <w:r w:rsidR="009C1DFB" w:rsidRPr="009C1DFB">
        <w:rPr>
          <w:rFonts w:ascii="Times New Roman" w:hAnsi="Times New Roman"/>
          <w:lang w:eastAsia="tr-TR"/>
        </w:rPr>
        <w:t xml:space="preserve">, </w:t>
      </w:r>
      <w:r w:rsidR="009C1DFB">
        <w:rPr>
          <w:rFonts w:ascii="Times New Roman" w:hAnsi="Times New Roman"/>
          <w:lang w:eastAsia="tr-TR"/>
        </w:rPr>
        <w:t xml:space="preserve">öğretide </w:t>
      </w:r>
      <w:r w:rsidR="009C1DFB" w:rsidRPr="009C1DFB">
        <w:rPr>
          <w:rFonts w:ascii="Times New Roman" w:hAnsi="Times New Roman"/>
          <w:lang w:eastAsia="tr-TR"/>
        </w:rPr>
        <w:t xml:space="preserve">Anayasa'nın 105. maddesi </w:t>
      </w:r>
      <w:r w:rsidR="009C1DFB">
        <w:rPr>
          <w:rFonts w:ascii="Times New Roman" w:hAnsi="Times New Roman"/>
          <w:lang w:eastAsia="tr-TR"/>
        </w:rPr>
        <w:t xml:space="preserve">dayanak olarak </w:t>
      </w:r>
      <w:r w:rsidR="009C1DFB" w:rsidRPr="009C1DFB">
        <w:rPr>
          <w:rFonts w:ascii="Times New Roman" w:hAnsi="Times New Roman"/>
          <w:lang w:eastAsia="tr-TR"/>
        </w:rPr>
        <w:t>gösteril</w:t>
      </w:r>
      <w:r w:rsidR="009C1DFB">
        <w:rPr>
          <w:rFonts w:ascii="Times New Roman" w:hAnsi="Times New Roman"/>
          <w:lang w:eastAsia="tr-TR"/>
        </w:rPr>
        <w:t>erek,</w:t>
      </w:r>
      <w:r w:rsidR="009C1DFB" w:rsidRPr="009C1DFB">
        <w:rPr>
          <w:rFonts w:ascii="Times New Roman" w:hAnsi="Times New Roman"/>
          <w:lang w:eastAsia="tr-TR"/>
        </w:rPr>
        <w:t xml:space="preserve"> </w:t>
      </w:r>
      <w:r w:rsidR="00A90FCA" w:rsidRPr="009C1DFB">
        <w:rPr>
          <w:rFonts w:ascii="Times New Roman" w:hAnsi="Times New Roman"/>
          <w:lang w:eastAsia="tr-TR"/>
        </w:rPr>
        <w:t xml:space="preserve">Parlamento tarafından kabul edilen yasaları kaldırma, tamamlama, değiştirme yetkisi </w:t>
      </w:r>
      <w:r w:rsidR="00A90FCA">
        <w:rPr>
          <w:rFonts w:ascii="Times New Roman" w:hAnsi="Times New Roman"/>
          <w:lang w:eastAsia="tr-TR"/>
        </w:rPr>
        <w:t xml:space="preserve">içeren bir tür </w:t>
      </w:r>
      <w:r w:rsidR="009C1DFB" w:rsidRPr="009C1DFB">
        <w:rPr>
          <w:rFonts w:ascii="Times New Roman" w:hAnsi="Times New Roman"/>
          <w:lang w:eastAsia="tr-TR"/>
        </w:rPr>
        <w:t xml:space="preserve">"özel yetkiler" </w:t>
      </w:r>
      <w:r w:rsidR="009C1DFB">
        <w:rPr>
          <w:rFonts w:ascii="Times New Roman" w:hAnsi="Times New Roman"/>
          <w:lang w:eastAsia="tr-TR"/>
        </w:rPr>
        <w:t>ad</w:t>
      </w:r>
      <w:r w:rsidR="00A90FCA">
        <w:rPr>
          <w:rFonts w:ascii="Times New Roman" w:hAnsi="Times New Roman"/>
          <w:lang w:eastAsia="tr-TR"/>
        </w:rPr>
        <w:t xml:space="preserve">lı </w:t>
      </w:r>
      <w:r w:rsidR="009C1DFB" w:rsidRPr="009C1DFB">
        <w:rPr>
          <w:rFonts w:ascii="Times New Roman" w:hAnsi="Times New Roman"/>
          <w:lang w:eastAsia="tr-TR"/>
        </w:rPr>
        <w:t>yasal ara</w:t>
      </w:r>
      <w:r w:rsidR="009C1DFB">
        <w:rPr>
          <w:rFonts w:ascii="Times New Roman" w:hAnsi="Times New Roman"/>
          <w:lang w:eastAsia="tr-TR"/>
        </w:rPr>
        <w:t xml:space="preserve">çtan </w:t>
      </w:r>
      <w:r w:rsidR="009C1DFB" w:rsidRPr="009C1DFB">
        <w:rPr>
          <w:rFonts w:ascii="Times New Roman" w:hAnsi="Times New Roman"/>
          <w:lang w:eastAsia="tr-TR"/>
        </w:rPr>
        <w:t>bahsedil</w:t>
      </w:r>
      <w:r w:rsidR="009C1DFB">
        <w:rPr>
          <w:rFonts w:ascii="Times New Roman" w:hAnsi="Times New Roman"/>
          <w:lang w:eastAsia="tr-TR"/>
        </w:rPr>
        <w:t>mektedir</w:t>
      </w:r>
      <w:r w:rsidR="009C1DFB">
        <w:rPr>
          <w:rStyle w:val="FootnoteReference"/>
          <w:rFonts w:ascii="Times New Roman" w:hAnsi="Times New Roman"/>
          <w:lang w:eastAsia="tr-TR"/>
        </w:rPr>
        <w:footnoteReference w:id="22"/>
      </w:r>
      <w:r w:rsidR="009C1DFB" w:rsidRPr="009C1DFB">
        <w:rPr>
          <w:rFonts w:ascii="Times New Roman" w:hAnsi="Times New Roman"/>
          <w:lang w:eastAsia="tr-TR"/>
        </w:rPr>
        <w:t>.</w:t>
      </w:r>
      <w:r w:rsidR="009C1DFB">
        <w:rPr>
          <w:rFonts w:ascii="Times New Roman" w:hAnsi="Times New Roman"/>
          <w:lang w:eastAsia="tr-TR"/>
        </w:rPr>
        <w:t xml:space="preserve"> </w:t>
      </w:r>
      <w:r w:rsidR="009C1DFB" w:rsidRPr="009C1DFB">
        <w:rPr>
          <w:rFonts w:ascii="Times New Roman" w:hAnsi="Times New Roman"/>
          <w:lang w:eastAsia="tr-TR"/>
        </w:rPr>
        <w:t>Buna göre, kabineye olağandışı genişlikte yasama yetkilerinin devrine izin verilebil</w:t>
      </w:r>
      <w:r w:rsidR="009C1DFB">
        <w:rPr>
          <w:rFonts w:ascii="Times New Roman" w:hAnsi="Times New Roman"/>
          <w:lang w:eastAsia="tr-TR"/>
        </w:rPr>
        <w:t>mektedir</w:t>
      </w:r>
      <w:r w:rsidR="009C1DFB" w:rsidRPr="009C1DFB">
        <w:rPr>
          <w:rFonts w:ascii="Times New Roman" w:hAnsi="Times New Roman"/>
          <w:lang w:eastAsia="tr-TR"/>
        </w:rPr>
        <w:t xml:space="preserve">. </w:t>
      </w:r>
      <w:r w:rsidR="00A90FCA">
        <w:rPr>
          <w:rFonts w:ascii="Times New Roman" w:hAnsi="Times New Roman"/>
          <w:lang w:eastAsia="tr-TR"/>
        </w:rPr>
        <w:t>Ancak bu yetkinin de</w:t>
      </w:r>
      <w:r w:rsidR="009C1DFB" w:rsidRPr="009C1DFB">
        <w:rPr>
          <w:rFonts w:ascii="Times New Roman" w:hAnsi="Times New Roman"/>
          <w:lang w:eastAsia="tr-TR"/>
        </w:rPr>
        <w:t xml:space="preserve"> kriz</w:t>
      </w:r>
      <w:r w:rsidR="00A90FCA">
        <w:rPr>
          <w:rFonts w:ascii="Times New Roman" w:hAnsi="Times New Roman"/>
          <w:lang w:eastAsia="tr-TR"/>
        </w:rPr>
        <w:t xml:space="preserve"> ve </w:t>
      </w:r>
      <w:r w:rsidR="009C1DFB" w:rsidRPr="009C1DFB">
        <w:rPr>
          <w:rFonts w:ascii="Times New Roman" w:hAnsi="Times New Roman"/>
          <w:lang w:eastAsia="tr-TR"/>
        </w:rPr>
        <w:t>olağanüstü şartlar</w:t>
      </w:r>
      <w:r w:rsidR="00A90FCA">
        <w:rPr>
          <w:rFonts w:ascii="Times New Roman" w:hAnsi="Times New Roman"/>
          <w:lang w:eastAsia="tr-TR"/>
        </w:rPr>
        <w:t xml:space="preserve"> gibi birtakım istisna h</w:t>
      </w:r>
      <w:r w:rsidR="00A00D05">
        <w:rPr>
          <w:rFonts w:ascii="Times New Roman" w:hAnsi="Times New Roman"/>
          <w:lang w:eastAsia="tr-TR"/>
        </w:rPr>
        <w:t>â</w:t>
      </w:r>
      <w:r w:rsidR="00A90FCA">
        <w:rPr>
          <w:rFonts w:ascii="Times New Roman" w:hAnsi="Times New Roman"/>
          <w:lang w:eastAsia="tr-TR"/>
        </w:rPr>
        <w:t xml:space="preserve">llerinde, </w:t>
      </w:r>
      <w:r w:rsidR="009C1DFB" w:rsidRPr="009C1DFB">
        <w:rPr>
          <w:rFonts w:ascii="Times New Roman" w:hAnsi="Times New Roman"/>
          <w:lang w:eastAsia="tr-TR"/>
        </w:rPr>
        <w:t>sınırlı süre</w:t>
      </w:r>
      <w:r w:rsidR="00A90FCA">
        <w:rPr>
          <w:rFonts w:ascii="Times New Roman" w:hAnsi="Times New Roman"/>
          <w:lang w:eastAsia="tr-TR"/>
        </w:rPr>
        <w:t xml:space="preserve">yle </w:t>
      </w:r>
      <w:r w:rsidR="009C1DFB" w:rsidRPr="009C1DFB">
        <w:rPr>
          <w:rFonts w:ascii="Times New Roman" w:hAnsi="Times New Roman"/>
          <w:lang w:eastAsia="tr-TR"/>
        </w:rPr>
        <w:t>kullanıla</w:t>
      </w:r>
      <w:r w:rsidR="00A90FCA">
        <w:rPr>
          <w:rFonts w:ascii="Times New Roman" w:hAnsi="Times New Roman"/>
          <w:lang w:eastAsia="tr-TR"/>
        </w:rPr>
        <w:t xml:space="preserve">bileceği ve </w:t>
      </w:r>
      <w:r w:rsidR="00A90FCA" w:rsidRPr="009C1DFB">
        <w:rPr>
          <w:rFonts w:ascii="Times New Roman" w:hAnsi="Times New Roman"/>
          <w:lang w:eastAsia="tr-TR"/>
        </w:rPr>
        <w:t>konusu</w:t>
      </w:r>
      <w:r w:rsidR="00A90FCA">
        <w:rPr>
          <w:rFonts w:ascii="Times New Roman" w:hAnsi="Times New Roman"/>
          <w:lang w:eastAsia="tr-TR"/>
        </w:rPr>
        <w:t xml:space="preserve"> ile</w:t>
      </w:r>
      <w:r w:rsidR="00A90FCA" w:rsidRPr="009C1DFB">
        <w:rPr>
          <w:rFonts w:ascii="Times New Roman" w:hAnsi="Times New Roman"/>
          <w:lang w:eastAsia="tr-TR"/>
        </w:rPr>
        <w:t xml:space="preserve"> amacı</w:t>
      </w:r>
      <w:r w:rsidR="00A90FCA">
        <w:rPr>
          <w:rFonts w:ascii="Times New Roman" w:hAnsi="Times New Roman"/>
          <w:lang w:eastAsia="tr-TR"/>
        </w:rPr>
        <w:t xml:space="preserve">nın </w:t>
      </w:r>
      <w:r w:rsidR="00A90FCA" w:rsidRPr="009C1DFB">
        <w:rPr>
          <w:rFonts w:ascii="Times New Roman" w:hAnsi="Times New Roman"/>
          <w:lang w:eastAsia="tr-TR"/>
        </w:rPr>
        <w:t>net biçimde belirlen</w:t>
      </w:r>
      <w:r w:rsidR="00A90FCA">
        <w:rPr>
          <w:rFonts w:ascii="Times New Roman" w:hAnsi="Times New Roman"/>
          <w:lang w:eastAsia="tr-TR"/>
        </w:rPr>
        <w:t>mesi gerektiği ifade edilmektedir</w:t>
      </w:r>
      <w:r w:rsidR="00A90FCA">
        <w:rPr>
          <w:rStyle w:val="FootnoteReference"/>
          <w:rFonts w:ascii="Times New Roman" w:hAnsi="Times New Roman"/>
          <w:lang w:eastAsia="tr-TR"/>
        </w:rPr>
        <w:footnoteReference w:id="23"/>
      </w:r>
      <w:r w:rsidR="00A90FCA">
        <w:rPr>
          <w:rFonts w:ascii="Times New Roman" w:hAnsi="Times New Roman"/>
          <w:lang w:eastAsia="tr-TR"/>
        </w:rPr>
        <w:t xml:space="preserve">. </w:t>
      </w:r>
      <w:r w:rsidR="009C1DFB" w:rsidRPr="009C1DFB">
        <w:rPr>
          <w:rFonts w:ascii="Times New Roman" w:hAnsi="Times New Roman"/>
          <w:lang w:eastAsia="tr-TR"/>
        </w:rPr>
        <w:t>Parlamenter demokrasilerde bu yetkiler</w:t>
      </w:r>
      <w:r w:rsidR="00A90FCA">
        <w:rPr>
          <w:rFonts w:ascii="Times New Roman" w:hAnsi="Times New Roman"/>
          <w:lang w:eastAsia="tr-TR"/>
        </w:rPr>
        <w:t xml:space="preserve">in </w:t>
      </w:r>
      <w:r w:rsidR="009C1DFB" w:rsidRPr="009C1DFB">
        <w:rPr>
          <w:rFonts w:ascii="Times New Roman" w:hAnsi="Times New Roman"/>
          <w:lang w:eastAsia="tr-TR"/>
        </w:rPr>
        <w:t xml:space="preserve">çok hassas değerlendirilmesi </w:t>
      </w:r>
      <w:r w:rsidR="00A90FCA">
        <w:rPr>
          <w:rFonts w:ascii="Times New Roman" w:hAnsi="Times New Roman"/>
          <w:lang w:eastAsia="tr-TR"/>
        </w:rPr>
        <w:t xml:space="preserve">gerektiği açıktır. Hatta bu nedenle salgın döneminde işgüder hükümet niteliğinde olan federal hükümet söz konusu yetkinin kullanımını ertelemiştir. Bununla birlikte, </w:t>
      </w:r>
      <w:r w:rsidR="009C1DFB" w:rsidRPr="009C1DFB">
        <w:rPr>
          <w:rFonts w:ascii="Times New Roman" w:hAnsi="Times New Roman"/>
          <w:lang w:eastAsia="tr-TR"/>
        </w:rPr>
        <w:t xml:space="preserve">ilk defa </w:t>
      </w:r>
      <w:proofErr w:type="spellStart"/>
      <w:r w:rsidR="00A90FCA" w:rsidRPr="007B1006">
        <w:rPr>
          <w:rFonts w:ascii="Times New Roman" w:hAnsi="Times New Roman"/>
          <w:i/>
          <w:iCs/>
          <w:lang w:eastAsia="tr-TR"/>
        </w:rPr>
        <w:t>Valon</w:t>
      </w:r>
      <w:proofErr w:type="spellEnd"/>
      <w:r w:rsidR="00A90FCA" w:rsidRPr="009C1DFB">
        <w:rPr>
          <w:rFonts w:ascii="Times New Roman" w:hAnsi="Times New Roman"/>
          <w:lang w:eastAsia="tr-TR"/>
        </w:rPr>
        <w:t xml:space="preserve"> bölgesi </w:t>
      </w:r>
      <w:r w:rsidR="00A90FCA">
        <w:rPr>
          <w:rFonts w:ascii="Times New Roman" w:hAnsi="Times New Roman"/>
          <w:lang w:eastAsia="tr-TR"/>
        </w:rPr>
        <w:t xml:space="preserve">Covid-19 </w:t>
      </w:r>
      <w:proofErr w:type="spellStart"/>
      <w:r w:rsidR="00A90FCA">
        <w:rPr>
          <w:rFonts w:ascii="Times New Roman" w:hAnsi="Times New Roman"/>
          <w:lang w:eastAsia="tr-TR"/>
        </w:rPr>
        <w:t>pandemisi</w:t>
      </w:r>
      <w:proofErr w:type="spellEnd"/>
      <w:r w:rsidR="00A90FCA">
        <w:rPr>
          <w:rFonts w:ascii="Times New Roman" w:hAnsi="Times New Roman"/>
          <w:lang w:eastAsia="tr-TR"/>
        </w:rPr>
        <w:t xml:space="preserve"> kapsamında </w:t>
      </w:r>
      <w:r w:rsidR="009C1DFB" w:rsidRPr="009C1DFB">
        <w:rPr>
          <w:rFonts w:ascii="Times New Roman" w:hAnsi="Times New Roman"/>
          <w:lang w:eastAsia="tr-TR"/>
        </w:rPr>
        <w:t>bu</w:t>
      </w:r>
      <w:r w:rsidR="00A90FCA">
        <w:rPr>
          <w:rFonts w:ascii="Times New Roman" w:hAnsi="Times New Roman"/>
          <w:lang w:eastAsia="tr-TR"/>
        </w:rPr>
        <w:t xml:space="preserve"> </w:t>
      </w:r>
      <w:r w:rsidR="009C1DFB" w:rsidRPr="009C1DFB">
        <w:rPr>
          <w:rFonts w:ascii="Times New Roman" w:hAnsi="Times New Roman"/>
          <w:lang w:eastAsia="tr-TR"/>
        </w:rPr>
        <w:t>yetkiyi kullan</w:t>
      </w:r>
      <w:r w:rsidR="00A90FCA">
        <w:rPr>
          <w:rFonts w:ascii="Times New Roman" w:hAnsi="Times New Roman"/>
          <w:lang w:eastAsia="tr-TR"/>
        </w:rPr>
        <w:t>mıştır</w:t>
      </w:r>
      <w:r w:rsidR="00A90FCA">
        <w:rPr>
          <w:rStyle w:val="FootnoteReference"/>
          <w:rFonts w:ascii="Times New Roman" w:hAnsi="Times New Roman"/>
          <w:lang w:eastAsia="tr-TR"/>
        </w:rPr>
        <w:footnoteReference w:id="24"/>
      </w:r>
      <w:r w:rsidR="00A90FCA">
        <w:rPr>
          <w:rFonts w:ascii="Times New Roman" w:hAnsi="Times New Roman"/>
          <w:lang w:eastAsia="tr-TR"/>
        </w:rPr>
        <w:t>.</w:t>
      </w:r>
      <w:r w:rsidR="007B1006">
        <w:rPr>
          <w:rFonts w:ascii="Times New Roman" w:hAnsi="Times New Roman"/>
          <w:lang w:eastAsia="tr-TR"/>
        </w:rPr>
        <w:t xml:space="preserve"> Ancak salgının yayılması ve artan riskler nedeniyle yapılan değerlendirmeler sonucunda, federal düzeyde de özel yetkinin kullanımına ilişkin yasalar kabul edilmiştir</w:t>
      </w:r>
      <w:r w:rsidR="007B1006">
        <w:rPr>
          <w:rStyle w:val="FootnoteReference"/>
          <w:rFonts w:ascii="Times New Roman" w:hAnsi="Times New Roman"/>
          <w:lang w:eastAsia="tr-TR"/>
        </w:rPr>
        <w:footnoteReference w:id="25"/>
      </w:r>
      <w:r w:rsidR="007B1006">
        <w:rPr>
          <w:rFonts w:ascii="Times New Roman" w:hAnsi="Times New Roman"/>
          <w:lang w:eastAsia="tr-TR"/>
        </w:rPr>
        <w:t>.</w:t>
      </w:r>
      <w:r w:rsidR="00A00D05">
        <w:rPr>
          <w:rFonts w:ascii="Times New Roman" w:hAnsi="Times New Roman"/>
          <w:lang w:eastAsia="tr-TR"/>
        </w:rPr>
        <w:t xml:space="preserve"> Ülkede, ö</w:t>
      </w:r>
      <w:r w:rsidR="007B1006" w:rsidRPr="007B1006">
        <w:rPr>
          <w:rFonts w:ascii="Times New Roman" w:hAnsi="Times New Roman"/>
          <w:lang w:eastAsia="tr-TR"/>
        </w:rPr>
        <w:t>zel yetki</w:t>
      </w:r>
      <w:r w:rsidR="00A00D05">
        <w:rPr>
          <w:rFonts w:ascii="Times New Roman" w:hAnsi="Times New Roman"/>
          <w:lang w:eastAsia="tr-TR"/>
        </w:rPr>
        <w:t xml:space="preserve"> </w:t>
      </w:r>
      <w:r w:rsidR="007B1006" w:rsidRPr="007B1006">
        <w:rPr>
          <w:rFonts w:ascii="Times New Roman" w:hAnsi="Times New Roman"/>
          <w:lang w:eastAsia="tr-TR"/>
        </w:rPr>
        <w:t>kararnameleri Parlamentonun onayına tabidir</w:t>
      </w:r>
      <w:r w:rsidR="007B1006">
        <w:rPr>
          <w:rFonts w:ascii="Times New Roman" w:hAnsi="Times New Roman"/>
          <w:lang w:eastAsia="tr-TR"/>
        </w:rPr>
        <w:t xml:space="preserve"> ve yalnızca virüsün yayılmasını önlemek içindir. Buna karşın, </w:t>
      </w:r>
      <w:r w:rsidR="007B1006" w:rsidRPr="007B1006">
        <w:rPr>
          <w:rFonts w:ascii="Times New Roman" w:hAnsi="Times New Roman"/>
          <w:lang w:eastAsia="tr-TR"/>
        </w:rPr>
        <w:t>demokratik destek eksikliğini bir şekilde telafi etmek için, bir</w:t>
      </w:r>
      <w:r w:rsidR="007B1006">
        <w:rPr>
          <w:rFonts w:ascii="Times New Roman" w:hAnsi="Times New Roman"/>
          <w:lang w:eastAsia="tr-TR"/>
        </w:rPr>
        <w:t xml:space="preserve"> </w:t>
      </w:r>
      <w:r w:rsidR="007B1006">
        <w:rPr>
          <w:rFonts w:ascii="Times New Roman" w:hAnsi="Times New Roman"/>
          <w:lang w:eastAsia="tr-TR"/>
        </w:rPr>
        <w:lastRenderedPageBreak/>
        <w:t>m</w:t>
      </w:r>
      <w:r w:rsidR="007B1006" w:rsidRPr="007B1006">
        <w:rPr>
          <w:rFonts w:ascii="Times New Roman" w:hAnsi="Times New Roman"/>
          <w:lang w:eastAsia="tr-TR"/>
        </w:rPr>
        <w:t>eclis komitesinden Kabine'nin özel yetkileri kullanmasını</w:t>
      </w:r>
      <w:r w:rsidR="007B1006">
        <w:rPr>
          <w:rFonts w:ascii="Times New Roman" w:hAnsi="Times New Roman"/>
          <w:lang w:eastAsia="tr-TR"/>
        </w:rPr>
        <w:t xml:space="preserve"> takip etmesi istenm</w:t>
      </w:r>
      <w:r w:rsidR="00A00D05">
        <w:rPr>
          <w:rFonts w:ascii="Times New Roman" w:hAnsi="Times New Roman"/>
          <w:lang w:eastAsia="tr-TR"/>
        </w:rPr>
        <w:t>iş</w:t>
      </w:r>
      <w:r w:rsidR="000A2B75">
        <w:rPr>
          <w:rFonts w:ascii="Times New Roman" w:hAnsi="Times New Roman"/>
          <w:lang w:eastAsia="tr-TR"/>
        </w:rPr>
        <w:t xml:space="preserve"> </w:t>
      </w:r>
      <w:r w:rsidR="007B1006">
        <w:rPr>
          <w:rFonts w:ascii="Times New Roman" w:hAnsi="Times New Roman"/>
          <w:lang w:eastAsia="tr-TR"/>
        </w:rPr>
        <w:t xml:space="preserve">ve yine bu amaçla anayasal bir temeli olmayan farklı birtakım </w:t>
      </w:r>
      <w:r w:rsidR="00A00D05">
        <w:rPr>
          <w:rFonts w:ascii="Times New Roman" w:hAnsi="Times New Roman"/>
          <w:lang w:eastAsia="tr-TR"/>
        </w:rPr>
        <w:t xml:space="preserve">izleme ve denetim </w:t>
      </w:r>
      <w:r w:rsidR="007B1006">
        <w:rPr>
          <w:rFonts w:ascii="Times New Roman" w:hAnsi="Times New Roman"/>
          <w:lang w:eastAsia="tr-TR"/>
        </w:rPr>
        <w:t>kurulla</w:t>
      </w:r>
      <w:r w:rsidR="00A00D05">
        <w:rPr>
          <w:rFonts w:ascii="Times New Roman" w:hAnsi="Times New Roman"/>
          <w:lang w:eastAsia="tr-TR"/>
        </w:rPr>
        <w:t xml:space="preserve">rı </w:t>
      </w:r>
      <w:r w:rsidR="007B1006">
        <w:rPr>
          <w:rFonts w:ascii="Times New Roman" w:hAnsi="Times New Roman"/>
          <w:lang w:eastAsia="tr-TR"/>
        </w:rPr>
        <w:t>oluşturulm</w:t>
      </w:r>
      <w:r w:rsidR="00A00D05">
        <w:rPr>
          <w:rFonts w:ascii="Times New Roman" w:hAnsi="Times New Roman"/>
          <w:lang w:eastAsia="tr-TR"/>
        </w:rPr>
        <w:t xml:space="preserve">uştur. Ancak bu yaklaşımın, </w:t>
      </w:r>
      <w:r w:rsidR="007B1006">
        <w:rPr>
          <w:rFonts w:ascii="Times New Roman" w:hAnsi="Times New Roman"/>
          <w:lang w:eastAsia="tr-TR"/>
        </w:rPr>
        <w:t xml:space="preserve">Belçika’nın </w:t>
      </w:r>
      <w:r w:rsidR="00A00D05">
        <w:rPr>
          <w:rFonts w:ascii="Times New Roman" w:hAnsi="Times New Roman"/>
          <w:lang w:eastAsia="tr-TR"/>
        </w:rPr>
        <w:t xml:space="preserve">demokrasi değil, bir </w:t>
      </w:r>
      <w:r w:rsidR="000A2B75">
        <w:rPr>
          <w:rFonts w:ascii="Times New Roman" w:hAnsi="Times New Roman"/>
          <w:lang w:eastAsia="tr-TR"/>
        </w:rPr>
        <w:t xml:space="preserve">çeşit </w:t>
      </w:r>
      <w:proofErr w:type="spellStart"/>
      <w:r w:rsidR="007B1006">
        <w:rPr>
          <w:rFonts w:ascii="Times New Roman" w:hAnsi="Times New Roman"/>
          <w:lang w:eastAsia="tr-TR"/>
        </w:rPr>
        <w:t>partitokrasi</w:t>
      </w:r>
      <w:proofErr w:type="spellEnd"/>
      <w:r w:rsidR="007B1006">
        <w:rPr>
          <w:rFonts w:ascii="Times New Roman" w:hAnsi="Times New Roman"/>
          <w:lang w:eastAsia="tr-TR"/>
        </w:rPr>
        <w:t xml:space="preserve"> olduğu</w:t>
      </w:r>
      <w:r w:rsidR="000A2B75">
        <w:rPr>
          <w:rFonts w:ascii="Times New Roman" w:hAnsi="Times New Roman"/>
          <w:lang w:eastAsia="tr-TR"/>
        </w:rPr>
        <w:t xml:space="preserve">na işaret ettiği </w:t>
      </w:r>
      <w:r w:rsidR="00A00D05">
        <w:rPr>
          <w:rFonts w:ascii="Times New Roman" w:hAnsi="Times New Roman"/>
          <w:lang w:eastAsia="tr-TR"/>
        </w:rPr>
        <w:t xml:space="preserve">de </w:t>
      </w:r>
      <w:r w:rsidR="000A2B75">
        <w:rPr>
          <w:rFonts w:ascii="Times New Roman" w:hAnsi="Times New Roman"/>
          <w:lang w:eastAsia="tr-TR"/>
        </w:rPr>
        <w:t>ileri sürülmektedir</w:t>
      </w:r>
      <w:r w:rsidR="000A2B75">
        <w:rPr>
          <w:rStyle w:val="FootnoteReference"/>
          <w:rFonts w:ascii="Times New Roman" w:hAnsi="Times New Roman"/>
          <w:lang w:eastAsia="tr-TR"/>
        </w:rPr>
        <w:footnoteReference w:id="26"/>
      </w:r>
      <w:r w:rsidR="000A2B75">
        <w:rPr>
          <w:rFonts w:ascii="Times New Roman" w:hAnsi="Times New Roman"/>
          <w:lang w:eastAsia="tr-TR"/>
        </w:rPr>
        <w:t xml:space="preserve">. </w:t>
      </w:r>
    </w:p>
    <w:p w14:paraId="4FD7CA50" w14:textId="77777777" w:rsidR="006245F8" w:rsidRDefault="000A2B75" w:rsidP="00503EB4">
      <w:pPr>
        <w:jc w:val="both"/>
        <w:rPr>
          <w:rFonts w:ascii="Times New Roman" w:hAnsi="Times New Roman"/>
          <w:lang w:eastAsia="tr-TR"/>
        </w:rPr>
      </w:pPr>
      <w:r>
        <w:rPr>
          <w:rFonts w:ascii="Times New Roman" w:hAnsi="Times New Roman"/>
          <w:lang w:eastAsia="tr-TR"/>
        </w:rPr>
        <w:tab/>
        <w:t>Salgın sürecinde aldığı önlemler ve yetki kullanımıyla özellikle temel hak ve özgürlükler anlamında en çok tartışma yaratan iki Avrupa Birliği üye ülkesi Macaristan ve Polonya</w:t>
      </w:r>
      <w:r w:rsidR="00252B13">
        <w:rPr>
          <w:rFonts w:ascii="Times New Roman" w:hAnsi="Times New Roman"/>
          <w:lang w:eastAsia="tr-TR"/>
        </w:rPr>
        <w:t>’</w:t>
      </w:r>
      <w:r>
        <w:rPr>
          <w:rFonts w:ascii="Times New Roman" w:hAnsi="Times New Roman"/>
          <w:lang w:eastAsia="tr-TR"/>
        </w:rPr>
        <w:t xml:space="preserve">dır. Aşağıda temel hak ve özgürlüklere ilişkin ayrıca değinilecek olmakla birlikte, her iki ülkede de yatay kuvvetler ayrılığı kapsamında tartışmaların </w:t>
      </w:r>
      <w:r w:rsidR="00342566">
        <w:rPr>
          <w:rFonts w:ascii="Times New Roman" w:hAnsi="Times New Roman"/>
          <w:lang w:eastAsia="tr-TR"/>
        </w:rPr>
        <w:t xml:space="preserve">olduğunu </w:t>
      </w:r>
      <w:r>
        <w:rPr>
          <w:rFonts w:ascii="Times New Roman" w:hAnsi="Times New Roman"/>
          <w:lang w:eastAsia="tr-TR"/>
        </w:rPr>
        <w:t xml:space="preserve">bu başlık altında not etmek gerekir. </w:t>
      </w:r>
      <w:proofErr w:type="spellStart"/>
      <w:r>
        <w:rPr>
          <w:rFonts w:ascii="Times New Roman" w:hAnsi="Times New Roman"/>
          <w:lang w:eastAsia="tr-TR"/>
        </w:rPr>
        <w:t>Üniter</w:t>
      </w:r>
      <w:proofErr w:type="spellEnd"/>
      <w:r>
        <w:rPr>
          <w:rFonts w:ascii="Times New Roman" w:hAnsi="Times New Roman"/>
          <w:lang w:eastAsia="tr-TR"/>
        </w:rPr>
        <w:t xml:space="preserve"> </w:t>
      </w:r>
      <w:r w:rsidR="00342566">
        <w:rPr>
          <w:rFonts w:ascii="Times New Roman" w:hAnsi="Times New Roman"/>
          <w:lang w:eastAsia="tr-TR"/>
        </w:rPr>
        <w:t>devlet biçimine</w:t>
      </w:r>
      <w:r>
        <w:rPr>
          <w:rFonts w:ascii="Times New Roman" w:hAnsi="Times New Roman"/>
          <w:lang w:eastAsia="tr-TR"/>
        </w:rPr>
        <w:t xml:space="preserve"> ve parlamenter hükümet sistemine sahip olan Macaristan ve Polonya’da </w:t>
      </w:r>
      <w:r w:rsidR="00BE7CAA">
        <w:rPr>
          <w:rFonts w:ascii="Times New Roman" w:hAnsi="Times New Roman"/>
          <w:lang w:eastAsia="tr-TR"/>
        </w:rPr>
        <w:t xml:space="preserve">bulaşıcı hastalıklara ilişkin çeşitli yasal dayanaklar olsa da her iki ülkede de önlemlerin </w:t>
      </w:r>
      <w:r>
        <w:rPr>
          <w:rFonts w:ascii="Times New Roman" w:hAnsi="Times New Roman"/>
          <w:lang w:eastAsia="tr-TR"/>
        </w:rPr>
        <w:t>büyük çoğunluğunun kararnameler</w:t>
      </w:r>
      <w:r w:rsidR="00244A04">
        <w:rPr>
          <w:rFonts w:ascii="Times New Roman" w:hAnsi="Times New Roman"/>
          <w:lang w:eastAsia="tr-TR"/>
        </w:rPr>
        <w:t xml:space="preserve">le </w:t>
      </w:r>
      <w:r>
        <w:rPr>
          <w:rFonts w:ascii="Times New Roman" w:hAnsi="Times New Roman"/>
          <w:lang w:eastAsia="tr-TR"/>
        </w:rPr>
        <w:t>alındığı görülmektedir</w:t>
      </w:r>
      <w:r w:rsidR="00BE7CAA">
        <w:rPr>
          <w:rStyle w:val="FootnoteReference"/>
          <w:rFonts w:ascii="Times New Roman" w:hAnsi="Times New Roman"/>
          <w:lang w:eastAsia="tr-TR"/>
        </w:rPr>
        <w:footnoteReference w:id="27"/>
      </w:r>
      <w:r>
        <w:rPr>
          <w:rFonts w:ascii="Times New Roman" w:hAnsi="Times New Roman"/>
          <w:lang w:eastAsia="tr-TR"/>
        </w:rPr>
        <w:t>.</w:t>
      </w:r>
      <w:r w:rsidR="00921265">
        <w:rPr>
          <w:rFonts w:ascii="Times New Roman" w:hAnsi="Times New Roman"/>
          <w:lang w:eastAsia="tr-TR"/>
        </w:rPr>
        <w:t xml:space="preserve"> Polonya</w:t>
      </w:r>
      <w:r w:rsidR="00BE7CAA">
        <w:rPr>
          <w:rFonts w:ascii="Times New Roman" w:hAnsi="Times New Roman"/>
          <w:lang w:eastAsia="tr-TR"/>
        </w:rPr>
        <w:t xml:space="preserve"> </w:t>
      </w:r>
      <w:r w:rsidR="00921265">
        <w:rPr>
          <w:rFonts w:ascii="Times New Roman" w:hAnsi="Times New Roman"/>
          <w:lang w:eastAsia="tr-TR"/>
        </w:rPr>
        <w:t xml:space="preserve">yönetimi tam bir olağanüstü </w:t>
      </w:r>
      <w:r w:rsidR="00342566">
        <w:rPr>
          <w:rFonts w:ascii="Times New Roman" w:hAnsi="Times New Roman"/>
          <w:lang w:eastAsia="tr-TR"/>
        </w:rPr>
        <w:t xml:space="preserve">hâl </w:t>
      </w:r>
      <w:r w:rsidR="00921265">
        <w:rPr>
          <w:rFonts w:ascii="Times New Roman" w:hAnsi="Times New Roman"/>
          <w:lang w:eastAsia="tr-TR"/>
        </w:rPr>
        <w:t>ilan etmem</w:t>
      </w:r>
      <w:r w:rsidR="002604DE">
        <w:rPr>
          <w:rFonts w:ascii="Times New Roman" w:hAnsi="Times New Roman"/>
          <w:lang w:eastAsia="tr-TR"/>
        </w:rPr>
        <w:t>ekle birlikte, “</w:t>
      </w:r>
      <w:r w:rsidR="00342566">
        <w:rPr>
          <w:rFonts w:ascii="Times New Roman" w:hAnsi="Times New Roman"/>
          <w:lang w:eastAsia="tr-TR"/>
        </w:rPr>
        <w:t>doğal felaket</w:t>
      </w:r>
      <w:r w:rsidR="002604DE">
        <w:rPr>
          <w:rFonts w:ascii="Times New Roman" w:hAnsi="Times New Roman"/>
          <w:lang w:eastAsia="tr-TR"/>
        </w:rPr>
        <w:t>”</w:t>
      </w:r>
      <w:r w:rsidR="00921265" w:rsidRPr="00921265">
        <w:rPr>
          <w:rFonts w:ascii="Times New Roman" w:hAnsi="Times New Roman"/>
          <w:lang w:eastAsia="tr-TR"/>
        </w:rPr>
        <w:t xml:space="preserve"> benzeri bir hukuki durum</w:t>
      </w:r>
      <w:r w:rsidR="00921265">
        <w:rPr>
          <w:rFonts w:ascii="Times New Roman" w:hAnsi="Times New Roman"/>
          <w:lang w:eastAsia="tr-TR"/>
        </w:rPr>
        <w:t>dan hareket etmiştir</w:t>
      </w:r>
      <w:r w:rsidR="00342566">
        <w:rPr>
          <w:rStyle w:val="FootnoteReference"/>
          <w:rFonts w:ascii="Times New Roman" w:hAnsi="Times New Roman"/>
          <w:lang w:eastAsia="tr-TR"/>
        </w:rPr>
        <w:footnoteReference w:id="28"/>
      </w:r>
      <w:r w:rsidR="00921265">
        <w:rPr>
          <w:rFonts w:ascii="Times New Roman" w:hAnsi="Times New Roman"/>
          <w:lang w:eastAsia="tr-TR"/>
        </w:rPr>
        <w:t>.</w:t>
      </w:r>
      <w:r w:rsidR="00D12224">
        <w:rPr>
          <w:rFonts w:ascii="Times New Roman" w:hAnsi="Times New Roman"/>
          <w:lang w:eastAsia="tr-TR"/>
        </w:rPr>
        <w:t xml:space="preserve"> Ancak bu süreçte siyasi sürece ilişkin çeşitli tartışmalara da ev sahipliği yapmıştır. Bunlardan en öne çıkanı, devam eden cumhurbaşkanlığı seçim dönemi sırasında, salgına ilişkin kısıtlamalar nedeniyle, </w:t>
      </w:r>
      <w:r w:rsidR="00D12224" w:rsidRPr="00D12224">
        <w:rPr>
          <w:rFonts w:ascii="Times New Roman" w:hAnsi="Times New Roman"/>
          <w:lang w:eastAsia="tr-TR"/>
        </w:rPr>
        <w:t>adayların seçim kampanyasını yürütme serbestliğini</w:t>
      </w:r>
      <w:r w:rsidR="00D12224">
        <w:rPr>
          <w:rFonts w:ascii="Times New Roman" w:hAnsi="Times New Roman"/>
          <w:lang w:eastAsia="tr-TR"/>
        </w:rPr>
        <w:t>n sınırlanması ve salgın</w:t>
      </w:r>
      <w:r w:rsidR="00D12224" w:rsidRPr="00D12224">
        <w:rPr>
          <w:rFonts w:ascii="Times New Roman" w:hAnsi="Times New Roman"/>
          <w:lang w:eastAsia="tr-TR"/>
        </w:rPr>
        <w:t xml:space="preserve"> dönem</w:t>
      </w:r>
      <w:r w:rsidR="00D12224">
        <w:rPr>
          <w:rFonts w:ascii="Times New Roman" w:hAnsi="Times New Roman"/>
          <w:lang w:eastAsia="tr-TR"/>
        </w:rPr>
        <w:t>in</w:t>
      </w:r>
      <w:r w:rsidR="00D12224" w:rsidRPr="00D12224">
        <w:rPr>
          <w:rFonts w:ascii="Times New Roman" w:hAnsi="Times New Roman"/>
          <w:lang w:eastAsia="tr-TR"/>
        </w:rPr>
        <w:t>de</w:t>
      </w:r>
      <w:r w:rsidR="00D12224">
        <w:rPr>
          <w:rFonts w:ascii="Times New Roman" w:hAnsi="Times New Roman"/>
          <w:lang w:eastAsia="tr-TR"/>
        </w:rPr>
        <w:t xml:space="preserve"> </w:t>
      </w:r>
      <w:r w:rsidR="00D12224" w:rsidRPr="00D12224">
        <w:rPr>
          <w:rFonts w:ascii="Times New Roman" w:hAnsi="Times New Roman"/>
          <w:lang w:eastAsia="tr-TR"/>
        </w:rPr>
        <w:t>parlamento</w:t>
      </w:r>
      <w:r w:rsidR="00D12224">
        <w:rPr>
          <w:rFonts w:ascii="Times New Roman" w:hAnsi="Times New Roman"/>
          <w:lang w:eastAsia="tr-TR"/>
        </w:rPr>
        <w:t xml:space="preserve">nun, </w:t>
      </w:r>
      <w:r w:rsidR="00D12224" w:rsidRPr="00D12224">
        <w:rPr>
          <w:rFonts w:ascii="Times New Roman" w:hAnsi="Times New Roman"/>
          <w:lang w:eastAsia="tr-TR"/>
        </w:rPr>
        <w:t xml:space="preserve">halihazırda devam eden seçim kampanyasına ilişkin </w:t>
      </w:r>
      <w:r w:rsidR="00D12224">
        <w:rPr>
          <w:rFonts w:ascii="Times New Roman" w:hAnsi="Times New Roman"/>
          <w:lang w:eastAsia="tr-TR"/>
        </w:rPr>
        <w:t>düzenlemeleri</w:t>
      </w:r>
      <w:r w:rsidR="00D12224" w:rsidRPr="00D12224">
        <w:rPr>
          <w:rFonts w:ascii="Times New Roman" w:hAnsi="Times New Roman"/>
          <w:lang w:eastAsia="tr-TR"/>
        </w:rPr>
        <w:t xml:space="preserve"> üç kez değiştirerek, seçimler öncesinde seçim yasa</w:t>
      </w:r>
      <w:r w:rsidR="00D12224">
        <w:rPr>
          <w:rFonts w:ascii="Times New Roman" w:hAnsi="Times New Roman"/>
          <w:lang w:eastAsia="tr-TR"/>
        </w:rPr>
        <w:t xml:space="preserve">larında </w:t>
      </w:r>
      <w:r w:rsidR="00D12224" w:rsidRPr="00D12224">
        <w:rPr>
          <w:rFonts w:ascii="Times New Roman" w:hAnsi="Times New Roman"/>
          <w:lang w:eastAsia="tr-TR"/>
        </w:rPr>
        <w:t xml:space="preserve">değişiklik yapılmaması yönündeki </w:t>
      </w:r>
      <w:r w:rsidR="00D12224">
        <w:rPr>
          <w:rFonts w:ascii="Times New Roman" w:hAnsi="Times New Roman"/>
          <w:lang w:eastAsia="tr-TR"/>
        </w:rPr>
        <w:t xml:space="preserve">yerinde </w:t>
      </w:r>
      <w:r w:rsidR="00D12224" w:rsidRPr="00D12224">
        <w:rPr>
          <w:rFonts w:ascii="Times New Roman" w:hAnsi="Times New Roman"/>
          <w:lang w:eastAsia="tr-TR"/>
        </w:rPr>
        <w:t>uygulamayı göz ardı et</w:t>
      </w:r>
      <w:r w:rsidR="00D12224">
        <w:rPr>
          <w:rFonts w:ascii="Times New Roman" w:hAnsi="Times New Roman"/>
          <w:lang w:eastAsia="tr-TR"/>
        </w:rPr>
        <w:t>miş olmasıdır</w:t>
      </w:r>
      <w:r w:rsidR="00D12224">
        <w:rPr>
          <w:rStyle w:val="FootnoteReference"/>
          <w:rFonts w:ascii="Times New Roman" w:hAnsi="Times New Roman"/>
          <w:lang w:eastAsia="tr-TR"/>
        </w:rPr>
        <w:footnoteReference w:id="29"/>
      </w:r>
      <w:r w:rsidR="00D12224">
        <w:rPr>
          <w:rFonts w:ascii="Times New Roman" w:hAnsi="Times New Roman"/>
          <w:lang w:eastAsia="tr-TR"/>
        </w:rPr>
        <w:t>.</w:t>
      </w:r>
    </w:p>
    <w:p w14:paraId="217F2B62" w14:textId="4C84DB7A" w:rsidR="000F7893" w:rsidRDefault="006245F8" w:rsidP="00503EB4">
      <w:pPr>
        <w:jc w:val="both"/>
        <w:rPr>
          <w:rFonts w:ascii="Times New Roman" w:hAnsi="Times New Roman"/>
          <w:lang w:eastAsia="tr-TR"/>
        </w:rPr>
      </w:pPr>
      <w:r>
        <w:rPr>
          <w:rFonts w:ascii="Times New Roman" w:hAnsi="Times New Roman"/>
          <w:lang w:eastAsia="tr-TR"/>
        </w:rPr>
        <w:tab/>
      </w:r>
      <w:r w:rsidR="00921265">
        <w:rPr>
          <w:rFonts w:ascii="Times New Roman" w:hAnsi="Times New Roman"/>
          <w:lang w:eastAsia="tr-TR"/>
        </w:rPr>
        <w:t>Macaristan ise ülke ç</w:t>
      </w:r>
      <w:r w:rsidR="000F7893">
        <w:rPr>
          <w:rFonts w:ascii="Times New Roman" w:hAnsi="Times New Roman"/>
          <w:lang w:eastAsia="tr-TR"/>
        </w:rPr>
        <w:t>ap</w:t>
      </w:r>
      <w:r w:rsidR="00921265">
        <w:rPr>
          <w:rFonts w:ascii="Times New Roman" w:hAnsi="Times New Roman"/>
          <w:lang w:eastAsia="tr-TR"/>
        </w:rPr>
        <w:t xml:space="preserve">ında olağanüstü </w:t>
      </w:r>
      <w:r w:rsidR="00342566">
        <w:rPr>
          <w:rFonts w:ascii="Times New Roman" w:hAnsi="Times New Roman"/>
          <w:lang w:eastAsia="tr-TR"/>
        </w:rPr>
        <w:t xml:space="preserve">hâl </w:t>
      </w:r>
      <w:r w:rsidR="00921265">
        <w:rPr>
          <w:rFonts w:ascii="Times New Roman" w:hAnsi="Times New Roman"/>
          <w:lang w:eastAsia="tr-TR"/>
        </w:rPr>
        <w:t xml:space="preserve">ilan etmiş ve </w:t>
      </w:r>
      <w:r w:rsidR="002604DE">
        <w:rPr>
          <w:rFonts w:ascii="Times New Roman" w:hAnsi="Times New Roman"/>
          <w:lang w:eastAsia="tr-TR"/>
        </w:rPr>
        <w:t xml:space="preserve">aldığı </w:t>
      </w:r>
      <w:r w:rsidR="00921265">
        <w:rPr>
          <w:rFonts w:ascii="Times New Roman" w:hAnsi="Times New Roman"/>
          <w:lang w:eastAsia="tr-TR"/>
        </w:rPr>
        <w:t>önlemleri</w:t>
      </w:r>
      <w:r w:rsidR="002604DE">
        <w:rPr>
          <w:rFonts w:ascii="Times New Roman" w:hAnsi="Times New Roman"/>
          <w:lang w:eastAsia="tr-TR"/>
        </w:rPr>
        <w:t xml:space="preserve"> </w:t>
      </w:r>
      <w:r w:rsidR="00921265" w:rsidRPr="00921265">
        <w:rPr>
          <w:rFonts w:ascii="Times New Roman" w:hAnsi="Times New Roman"/>
          <w:lang w:eastAsia="tr-TR"/>
        </w:rPr>
        <w:t>A</w:t>
      </w:r>
      <w:r w:rsidR="00921265">
        <w:rPr>
          <w:rFonts w:ascii="Times New Roman" w:hAnsi="Times New Roman"/>
          <w:lang w:eastAsia="tr-TR"/>
        </w:rPr>
        <w:t xml:space="preserve">nayasası’nın </w:t>
      </w:r>
      <w:r w:rsidR="00921265" w:rsidRPr="00921265">
        <w:rPr>
          <w:rFonts w:ascii="Times New Roman" w:hAnsi="Times New Roman"/>
          <w:lang w:eastAsia="tr-TR"/>
        </w:rPr>
        <w:t>48</w:t>
      </w:r>
      <w:r w:rsidR="00921265">
        <w:rPr>
          <w:rFonts w:ascii="Times New Roman" w:hAnsi="Times New Roman"/>
          <w:lang w:eastAsia="tr-TR"/>
        </w:rPr>
        <w:t xml:space="preserve"> ila </w:t>
      </w:r>
      <w:r w:rsidR="00921265" w:rsidRPr="00921265">
        <w:rPr>
          <w:rFonts w:ascii="Times New Roman" w:hAnsi="Times New Roman"/>
          <w:lang w:eastAsia="tr-TR"/>
        </w:rPr>
        <w:t>54</w:t>
      </w:r>
      <w:r w:rsidR="00921265">
        <w:rPr>
          <w:rFonts w:ascii="Times New Roman" w:hAnsi="Times New Roman"/>
          <w:lang w:eastAsia="tr-TR"/>
        </w:rPr>
        <w:t xml:space="preserve">. maddeleri arasında düzenlenen </w:t>
      </w:r>
      <w:r w:rsidR="00244A04">
        <w:rPr>
          <w:rFonts w:ascii="Times New Roman" w:hAnsi="Times New Roman"/>
          <w:lang w:eastAsia="tr-TR"/>
        </w:rPr>
        <w:t xml:space="preserve">ulusal kriz veya olağanüstü hâllerde geçerli olacak şekilde düzenlenmiş </w:t>
      </w:r>
      <w:r w:rsidR="00921265" w:rsidRPr="00921265">
        <w:rPr>
          <w:rFonts w:ascii="Times New Roman" w:hAnsi="Times New Roman"/>
          <w:lang w:eastAsia="tr-TR"/>
        </w:rPr>
        <w:t>"özel yasal düzen" başlıklı şemsiye hük</w:t>
      </w:r>
      <w:r w:rsidR="00342566">
        <w:rPr>
          <w:rFonts w:ascii="Times New Roman" w:hAnsi="Times New Roman"/>
          <w:lang w:eastAsia="tr-TR"/>
        </w:rPr>
        <w:t xml:space="preserve">ümlere </w:t>
      </w:r>
      <w:r w:rsidR="00921265">
        <w:rPr>
          <w:rFonts w:ascii="Times New Roman" w:hAnsi="Times New Roman"/>
          <w:lang w:eastAsia="tr-TR"/>
        </w:rPr>
        <w:t>dayanarak gerçekleştirmiştir</w:t>
      </w:r>
      <w:r w:rsidR="00004049">
        <w:rPr>
          <w:rStyle w:val="FootnoteReference"/>
          <w:rFonts w:ascii="Times New Roman" w:hAnsi="Times New Roman"/>
          <w:lang w:eastAsia="tr-TR"/>
        </w:rPr>
        <w:footnoteReference w:id="30"/>
      </w:r>
      <w:r w:rsidR="00921265">
        <w:rPr>
          <w:rFonts w:ascii="Times New Roman" w:hAnsi="Times New Roman"/>
          <w:lang w:eastAsia="tr-TR"/>
        </w:rPr>
        <w:t xml:space="preserve">. </w:t>
      </w:r>
      <w:r w:rsidR="00921265" w:rsidRPr="00921265">
        <w:rPr>
          <w:rFonts w:ascii="Times New Roman" w:hAnsi="Times New Roman"/>
          <w:lang w:eastAsia="tr-TR"/>
        </w:rPr>
        <w:t xml:space="preserve">Hükümete geniş yetkiler tanıyan </w:t>
      </w:r>
      <w:r w:rsidR="00921265">
        <w:rPr>
          <w:rFonts w:ascii="Times New Roman" w:hAnsi="Times New Roman"/>
          <w:lang w:eastAsia="tr-TR"/>
        </w:rPr>
        <w:t xml:space="preserve">bir </w:t>
      </w:r>
      <w:r w:rsidR="00921265" w:rsidRPr="00921265">
        <w:rPr>
          <w:rFonts w:ascii="Times New Roman" w:hAnsi="Times New Roman"/>
          <w:lang w:eastAsia="tr-TR"/>
        </w:rPr>
        <w:t>acil durum yasası çıkarıl</w:t>
      </w:r>
      <w:r w:rsidR="00921265">
        <w:rPr>
          <w:rFonts w:ascii="Times New Roman" w:hAnsi="Times New Roman"/>
          <w:lang w:eastAsia="tr-TR"/>
        </w:rPr>
        <w:t>mış, s</w:t>
      </w:r>
      <w:r w:rsidR="00921265" w:rsidRPr="00921265">
        <w:rPr>
          <w:rFonts w:ascii="Times New Roman" w:hAnsi="Times New Roman"/>
          <w:lang w:eastAsia="tr-TR"/>
        </w:rPr>
        <w:t xml:space="preserve">algın nedeniyle çıkarılan bu yasayla Başbakan </w:t>
      </w:r>
      <w:proofErr w:type="spellStart"/>
      <w:r w:rsidR="00921265" w:rsidRPr="00252B13">
        <w:rPr>
          <w:rFonts w:ascii="Times New Roman" w:hAnsi="Times New Roman"/>
          <w:i/>
          <w:iCs/>
          <w:lang w:eastAsia="tr-TR"/>
        </w:rPr>
        <w:t>Orban</w:t>
      </w:r>
      <w:proofErr w:type="spellEnd"/>
      <w:r w:rsidR="00921265" w:rsidRPr="00921265">
        <w:rPr>
          <w:rFonts w:ascii="Times New Roman" w:hAnsi="Times New Roman"/>
          <w:lang w:eastAsia="tr-TR"/>
        </w:rPr>
        <w:t>, parlamentoyu devre dışı bırakabilecek özel yetkilere sahip ol</w:t>
      </w:r>
      <w:r w:rsidR="00921265">
        <w:rPr>
          <w:rFonts w:ascii="Times New Roman" w:hAnsi="Times New Roman"/>
          <w:lang w:eastAsia="tr-TR"/>
        </w:rPr>
        <w:t>muştur</w:t>
      </w:r>
      <w:r w:rsidR="00921265">
        <w:rPr>
          <w:rStyle w:val="FootnoteReference"/>
          <w:rFonts w:ascii="Times New Roman" w:hAnsi="Times New Roman"/>
          <w:lang w:eastAsia="tr-TR"/>
        </w:rPr>
        <w:footnoteReference w:id="31"/>
      </w:r>
      <w:r w:rsidR="00921265" w:rsidRPr="00921265">
        <w:rPr>
          <w:rFonts w:ascii="Times New Roman" w:hAnsi="Times New Roman"/>
          <w:lang w:eastAsia="tr-TR"/>
        </w:rPr>
        <w:t>.</w:t>
      </w:r>
      <w:r w:rsidR="00921265">
        <w:rPr>
          <w:rFonts w:ascii="Times New Roman" w:hAnsi="Times New Roman"/>
          <w:lang w:eastAsia="tr-TR"/>
        </w:rPr>
        <w:t xml:space="preserve"> </w:t>
      </w:r>
      <w:r w:rsidR="000F7893">
        <w:rPr>
          <w:rFonts w:ascii="Times New Roman" w:hAnsi="Times New Roman"/>
          <w:lang w:eastAsia="tr-TR"/>
        </w:rPr>
        <w:t>Y</w:t>
      </w:r>
      <w:r w:rsidR="000F7893" w:rsidRPr="000F7893">
        <w:rPr>
          <w:rFonts w:ascii="Times New Roman" w:hAnsi="Times New Roman"/>
          <w:lang w:eastAsia="tr-TR"/>
        </w:rPr>
        <w:t>ürütme organ</w:t>
      </w:r>
      <w:r w:rsidR="000F7893">
        <w:rPr>
          <w:rFonts w:ascii="Times New Roman" w:hAnsi="Times New Roman"/>
          <w:lang w:eastAsia="tr-TR"/>
        </w:rPr>
        <w:t xml:space="preserve">ının kriz dönemlerinde daha </w:t>
      </w:r>
      <w:r w:rsidR="000F7893" w:rsidRPr="000F7893">
        <w:rPr>
          <w:rFonts w:ascii="Times New Roman" w:hAnsi="Times New Roman"/>
          <w:lang w:eastAsia="tr-TR"/>
        </w:rPr>
        <w:t>hızlı ve etkin biçimde eyleme geçebilm</w:t>
      </w:r>
      <w:r w:rsidR="000F7893">
        <w:rPr>
          <w:rFonts w:ascii="Times New Roman" w:hAnsi="Times New Roman"/>
          <w:lang w:eastAsia="tr-TR"/>
        </w:rPr>
        <w:t xml:space="preserve">eleri nedeniyle, istisna hallerinde </w:t>
      </w:r>
      <w:r w:rsidR="000F7893" w:rsidRPr="000F7893">
        <w:rPr>
          <w:rFonts w:ascii="Times New Roman" w:hAnsi="Times New Roman"/>
          <w:lang w:eastAsia="tr-TR"/>
        </w:rPr>
        <w:t xml:space="preserve">daha basit karar </w:t>
      </w:r>
      <w:r w:rsidR="000F7893">
        <w:rPr>
          <w:rFonts w:ascii="Times New Roman" w:hAnsi="Times New Roman"/>
          <w:lang w:eastAsia="tr-TR"/>
        </w:rPr>
        <w:t xml:space="preserve">alma </w:t>
      </w:r>
      <w:r w:rsidR="000F7893" w:rsidRPr="000F7893">
        <w:rPr>
          <w:rFonts w:ascii="Times New Roman" w:hAnsi="Times New Roman"/>
          <w:lang w:eastAsia="tr-TR"/>
        </w:rPr>
        <w:t>usullerinin uygulanması</w:t>
      </w:r>
      <w:r w:rsidR="000F7893">
        <w:rPr>
          <w:rFonts w:ascii="Times New Roman" w:hAnsi="Times New Roman"/>
          <w:lang w:eastAsia="tr-TR"/>
        </w:rPr>
        <w:t xml:space="preserve"> </w:t>
      </w:r>
      <w:r w:rsidR="000F7893" w:rsidRPr="000F7893">
        <w:rPr>
          <w:rFonts w:ascii="Times New Roman" w:hAnsi="Times New Roman"/>
          <w:lang w:eastAsia="tr-TR"/>
        </w:rPr>
        <w:t xml:space="preserve">ve </w:t>
      </w:r>
      <w:r w:rsidR="000F7893">
        <w:rPr>
          <w:rFonts w:ascii="Times New Roman" w:hAnsi="Times New Roman"/>
          <w:lang w:eastAsia="tr-TR"/>
        </w:rPr>
        <w:t xml:space="preserve">kuvvetler </w:t>
      </w:r>
      <w:r w:rsidR="000F7893" w:rsidRPr="000F7893">
        <w:rPr>
          <w:rFonts w:ascii="Times New Roman" w:hAnsi="Times New Roman"/>
          <w:lang w:eastAsia="tr-TR"/>
        </w:rPr>
        <w:t>ayrılığının yumuşatılması</w:t>
      </w:r>
      <w:r w:rsidR="000F7893">
        <w:rPr>
          <w:rFonts w:ascii="Times New Roman" w:hAnsi="Times New Roman"/>
          <w:lang w:eastAsia="tr-TR"/>
        </w:rPr>
        <w:t xml:space="preserve"> </w:t>
      </w:r>
      <w:r w:rsidR="000F7893" w:rsidRPr="000F7893">
        <w:rPr>
          <w:rFonts w:ascii="Times New Roman" w:hAnsi="Times New Roman"/>
          <w:lang w:eastAsia="tr-TR"/>
        </w:rPr>
        <w:t>gerek</w:t>
      </w:r>
      <w:r w:rsidR="000F7893">
        <w:rPr>
          <w:rFonts w:ascii="Times New Roman" w:hAnsi="Times New Roman"/>
          <w:lang w:eastAsia="tr-TR"/>
        </w:rPr>
        <w:t>ebilir</w:t>
      </w:r>
      <w:r w:rsidR="000F7893">
        <w:rPr>
          <w:rStyle w:val="FootnoteReference"/>
          <w:rFonts w:ascii="Times New Roman" w:hAnsi="Times New Roman"/>
          <w:lang w:eastAsia="tr-TR"/>
        </w:rPr>
        <w:footnoteReference w:id="32"/>
      </w:r>
      <w:r w:rsidR="000F7893">
        <w:rPr>
          <w:rFonts w:ascii="Times New Roman" w:hAnsi="Times New Roman"/>
          <w:lang w:eastAsia="tr-TR"/>
        </w:rPr>
        <w:t xml:space="preserve">. Buna karşılık, olağanüstü </w:t>
      </w:r>
      <w:r w:rsidR="000F7893" w:rsidRPr="000F7893">
        <w:rPr>
          <w:rFonts w:ascii="Times New Roman" w:hAnsi="Times New Roman"/>
          <w:lang w:eastAsia="tr-TR"/>
        </w:rPr>
        <w:t>hâl</w:t>
      </w:r>
      <w:r w:rsidR="000F7893">
        <w:rPr>
          <w:rFonts w:ascii="Times New Roman" w:hAnsi="Times New Roman"/>
          <w:lang w:eastAsia="tr-TR"/>
        </w:rPr>
        <w:t xml:space="preserve">lerde dahi hem </w:t>
      </w:r>
      <w:r w:rsidR="000F7893" w:rsidRPr="000F7893">
        <w:rPr>
          <w:rFonts w:ascii="Times New Roman" w:hAnsi="Times New Roman"/>
          <w:lang w:eastAsia="tr-TR"/>
        </w:rPr>
        <w:t>parlamentolar</w:t>
      </w:r>
      <w:r w:rsidR="000F7893">
        <w:rPr>
          <w:rFonts w:ascii="Times New Roman" w:hAnsi="Times New Roman"/>
          <w:lang w:eastAsia="tr-TR"/>
        </w:rPr>
        <w:t xml:space="preserve"> hem de yargı organı, </w:t>
      </w:r>
      <w:r w:rsidR="000F7893" w:rsidRPr="000F7893">
        <w:rPr>
          <w:rFonts w:ascii="Times New Roman" w:hAnsi="Times New Roman"/>
          <w:lang w:eastAsia="tr-TR"/>
        </w:rPr>
        <w:t>yürütmenin olağanüstü hâl yetkilerinin hâlâ</w:t>
      </w:r>
      <w:r w:rsidR="000F7893">
        <w:rPr>
          <w:rFonts w:ascii="Times New Roman" w:hAnsi="Times New Roman"/>
          <w:lang w:eastAsia="tr-TR"/>
        </w:rPr>
        <w:t xml:space="preserve"> </w:t>
      </w:r>
      <w:r>
        <w:rPr>
          <w:rFonts w:ascii="Times New Roman" w:hAnsi="Times New Roman"/>
          <w:lang w:eastAsia="tr-TR"/>
        </w:rPr>
        <w:t>meşru</w:t>
      </w:r>
      <w:r w:rsidR="000F7893" w:rsidRPr="000F7893">
        <w:rPr>
          <w:rFonts w:ascii="Times New Roman" w:hAnsi="Times New Roman"/>
          <w:lang w:eastAsia="tr-TR"/>
        </w:rPr>
        <w:t xml:space="preserve"> olup olmadığını</w:t>
      </w:r>
      <w:r w:rsidR="000F7893">
        <w:rPr>
          <w:rFonts w:ascii="Times New Roman" w:hAnsi="Times New Roman"/>
          <w:lang w:eastAsia="tr-TR"/>
        </w:rPr>
        <w:t xml:space="preserve"> </w:t>
      </w:r>
      <w:r w:rsidR="000F7893" w:rsidRPr="000F7893">
        <w:rPr>
          <w:rFonts w:ascii="Times New Roman" w:hAnsi="Times New Roman"/>
          <w:lang w:eastAsia="tr-TR"/>
        </w:rPr>
        <w:t>makul</w:t>
      </w:r>
      <w:r w:rsidR="000F7893">
        <w:rPr>
          <w:rFonts w:ascii="Times New Roman" w:hAnsi="Times New Roman"/>
          <w:lang w:eastAsia="tr-TR"/>
        </w:rPr>
        <w:t xml:space="preserve"> </w:t>
      </w:r>
      <w:r w:rsidR="000F7893" w:rsidRPr="000F7893">
        <w:rPr>
          <w:rFonts w:ascii="Times New Roman" w:hAnsi="Times New Roman"/>
          <w:lang w:eastAsia="tr-TR"/>
        </w:rPr>
        <w:t>aralıklarla teyit ederek veya yürütmenin</w:t>
      </w:r>
      <w:r w:rsidR="000F7893">
        <w:rPr>
          <w:rFonts w:ascii="Times New Roman" w:hAnsi="Times New Roman"/>
          <w:lang w:eastAsia="tr-TR"/>
        </w:rPr>
        <w:t xml:space="preserve"> </w:t>
      </w:r>
      <w:r w:rsidR="000F7893" w:rsidRPr="000F7893">
        <w:rPr>
          <w:rFonts w:ascii="Times New Roman" w:hAnsi="Times New Roman"/>
          <w:lang w:eastAsia="tr-TR"/>
        </w:rPr>
        <w:t>kararlarını değiştirmek</w:t>
      </w:r>
      <w:r w:rsidR="000F7893">
        <w:rPr>
          <w:rFonts w:ascii="Times New Roman" w:hAnsi="Times New Roman"/>
          <w:lang w:eastAsia="tr-TR"/>
        </w:rPr>
        <w:t xml:space="preserve"> </w:t>
      </w:r>
      <w:r w:rsidR="000F7893" w:rsidRPr="000F7893">
        <w:rPr>
          <w:rFonts w:ascii="Times New Roman" w:hAnsi="Times New Roman"/>
          <w:lang w:eastAsia="tr-TR"/>
        </w:rPr>
        <w:t>veya hükümsüz kılmak üzere müdahalede bulunarak</w:t>
      </w:r>
      <w:r w:rsidR="000F7893">
        <w:rPr>
          <w:rFonts w:ascii="Times New Roman" w:hAnsi="Times New Roman"/>
          <w:lang w:eastAsia="tr-TR"/>
        </w:rPr>
        <w:t xml:space="preserve">, </w:t>
      </w:r>
      <w:r w:rsidR="000F7893" w:rsidRPr="000F7893">
        <w:rPr>
          <w:rFonts w:ascii="Times New Roman" w:hAnsi="Times New Roman"/>
          <w:lang w:eastAsia="tr-TR"/>
        </w:rPr>
        <w:t>yürütmenin</w:t>
      </w:r>
      <w:r w:rsidR="000F7893">
        <w:rPr>
          <w:rFonts w:ascii="Times New Roman" w:hAnsi="Times New Roman"/>
          <w:lang w:eastAsia="tr-TR"/>
        </w:rPr>
        <w:t xml:space="preserve"> faaliyetlerini </w:t>
      </w:r>
      <w:r w:rsidR="000F7893" w:rsidRPr="000F7893">
        <w:rPr>
          <w:rFonts w:ascii="Times New Roman" w:hAnsi="Times New Roman"/>
          <w:lang w:eastAsia="tr-TR"/>
        </w:rPr>
        <w:t>denetlemekle</w:t>
      </w:r>
      <w:r w:rsidR="000F7893">
        <w:rPr>
          <w:rFonts w:ascii="Times New Roman" w:hAnsi="Times New Roman"/>
          <w:lang w:eastAsia="tr-TR"/>
        </w:rPr>
        <w:t xml:space="preserve"> </w:t>
      </w:r>
      <w:r w:rsidR="000F7893" w:rsidRPr="000F7893">
        <w:rPr>
          <w:rFonts w:ascii="Times New Roman" w:hAnsi="Times New Roman"/>
          <w:lang w:eastAsia="tr-TR"/>
        </w:rPr>
        <w:t>yükümlüdür</w:t>
      </w:r>
      <w:r w:rsidR="000F7893">
        <w:rPr>
          <w:rStyle w:val="FootnoteReference"/>
          <w:rFonts w:ascii="Times New Roman" w:hAnsi="Times New Roman"/>
          <w:lang w:eastAsia="tr-TR"/>
        </w:rPr>
        <w:footnoteReference w:id="33"/>
      </w:r>
      <w:r w:rsidR="000F7893">
        <w:rPr>
          <w:rFonts w:ascii="Times New Roman" w:hAnsi="Times New Roman"/>
          <w:lang w:eastAsia="tr-TR"/>
        </w:rPr>
        <w:t>. Dolayısıyla,</w:t>
      </w:r>
      <w:r w:rsidR="00921265">
        <w:rPr>
          <w:rFonts w:ascii="Times New Roman" w:hAnsi="Times New Roman"/>
          <w:lang w:eastAsia="tr-TR"/>
        </w:rPr>
        <w:t xml:space="preserve"> p</w:t>
      </w:r>
      <w:r w:rsidR="00921265" w:rsidRPr="00921265">
        <w:rPr>
          <w:rFonts w:ascii="Times New Roman" w:hAnsi="Times New Roman"/>
          <w:lang w:eastAsia="tr-TR"/>
        </w:rPr>
        <w:t>arlamentonun kontrolü olmadan kanun hükmünde kararname çıkarma</w:t>
      </w:r>
      <w:r w:rsidR="00244A04">
        <w:rPr>
          <w:rFonts w:ascii="Times New Roman" w:hAnsi="Times New Roman"/>
          <w:lang w:eastAsia="tr-TR"/>
        </w:rPr>
        <w:t xml:space="preserve">, </w:t>
      </w:r>
      <w:r w:rsidR="00921265">
        <w:rPr>
          <w:rFonts w:ascii="Times New Roman" w:hAnsi="Times New Roman"/>
          <w:lang w:eastAsia="tr-TR"/>
        </w:rPr>
        <w:t>b</w:t>
      </w:r>
      <w:r w:rsidR="00921265" w:rsidRPr="00921265">
        <w:rPr>
          <w:rFonts w:ascii="Times New Roman" w:hAnsi="Times New Roman"/>
          <w:lang w:eastAsia="tr-TR"/>
        </w:rPr>
        <w:t xml:space="preserve">azı kanunların ve seçimlerin askıya alınması </w:t>
      </w:r>
      <w:r w:rsidR="00921265">
        <w:rPr>
          <w:rFonts w:ascii="Times New Roman" w:hAnsi="Times New Roman"/>
          <w:lang w:eastAsia="tr-TR"/>
        </w:rPr>
        <w:t>ve h</w:t>
      </w:r>
      <w:r w:rsidR="00921265" w:rsidRPr="00921265">
        <w:rPr>
          <w:rFonts w:ascii="Times New Roman" w:hAnsi="Times New Roman"/>
          <w:lang w:eastAsia="tr-TR"/>
        </w:rPr>
        <w:t xml:space="preserve">ükümete tanınan belirsiz bir süre etkin olma yetkisi </w:t>
      </w:r>
      <w:r w:rsidR="00921265">
        <w:rPr>
          <w:rFonts w:ascii="Times New Roman" w:hAnsi="Times New Roman"/>
          <w:lang w:eastAsia="tr-TR"/>
        </w:rPr>
        <w:t xml:space="preserve">gibi salgın gerekçe </w:t>
      </w:r>
      <w:r w:rsidR="00921265">
        <w:rPr>
          <w:rFonts w:ascii="Times New Roman" w:hAnsi="Times New Roman"/>
          <w:lang w:eastAsia="tr-TR"/>
        </w:rPr>
        <w:lastRenderedPageBreak/>
        <w:t>gösterilerek yürütme organına tanınan genişletilmiş yetkiler</w:t>
      </w:r>
      <w:r w:rsidR="000F7893">
        <w:rPr>
          <w:rFonts w:ascii="Times New Roman" w:hAnsi="Times New Roman"/>
          <w:lang w:eastAsia="tr-TR"/>
        </w:rPr>
        <w:t>in hukuki güvenliği ve öngörülebilirliği tehdit ettiğini belirtmek gerekir</w:t>
      </w:r>
      <w:r w:rsidR="00244A04">
        <w:rPr>
          <w:rStyle w:val="FootnoteReference"/>
          <w:rFonts w:ascii="Times New Roman" w:hAnsi="Times New Roman"/>
          <w:lang w:eastAsia="tr-TR"/>
        </w:rPr>
        <w:footnoteReference w:id="34"/>
      </w:r>
      <w:r w:rsidR="00244A04">
        <w:rPr>
          <w:rFonts w:ascii="Times New Roman" w:hAnsi="Times New Roman"/>
          <w:lang w:eastAsia="tr-TR"/>
        </w:rPr>
        <w:t>.</w:t>
      </w:r>
      <w:r w:rsidR="00921265">
        <w:rPr>
          <w:rFonts w:ascii="Times New Roman" w:hAnsi="Times New Roman"/>
          <w:lang w:eastAsia="tr-TR"/>
        </w:rPr>
        <w:t xml:space="preserve"> </w:t>
      </w:r>
    </w:p>
    <w:p w14:paraId="349F1C37" w14:textId="64A60778" w:rsidR="00D12224" w:rsidRDefault="00EF6724" w:rsidP="00503EB4">
      <w:pPr>
        <w:jc w:val="both"/>
        <w:rPr>
          <w:rFonts w:ascii="Times New Roman" w:hAnsi="Times New Roman"/>
          <w:lang w:eastAsia="tr-TR"/>
        </w:rPr>
      </w:pPr>
      <w:r>
        <w:rPr>
          <w:rFonts w:ascii="Times New Roman" w:hAnsi="Times New Roman"/>
          <w:lang w:eastAsia="tr-TR"/>
        </w:rPr>
        <w:tab/>
        <w:t xml:space="preserve">Bu başlık altında karşılaştırmalı incelemeye son verirken, </w:t>
      </w:r>
      <w:proofErr w:type="spellStart"/>
      <w:r>
        <w:rPr>
          <w:rFonts w:ascii="Times New Roman" w:hAnsi="Times New Roman"/>
          <w:lang w:eastAsia="tr-TR"/>
        </w:rPr>
        <w:t>üniter</w:t>
      </w:r>
      <w:proofErr w:type="spellEnd"/>
      <w:r>
        <w:rPr>
          <w:rFonts w:ascii="Times New Roman" w:hAnsi="Times New Roman"/>
          <w:lang w:eastAsia="tr-TR"/>
        </w:rPr>
        <w:t xml:space="preserve"> devlet biçimine ve parlamenter hükümet sistemine sahip olan Danimarka, kuvvetler ayrılığının test edildiği ve testten başarıyla geçen bir ülke örneği olarak not edilmelidir. Danimarka Anayasası olağanüstü h</w:t>
      </w:r>
      <w:r w:rsidR="006245F8">
        <w:rPr>
          <w:rFonts w:ascii="Times New Roman" w:hAnsi="Times New Roman"/>
          <w:lang w:eastAsia="tr-TR"/>
        </w:rPr>
        <w:t>â</w:t>
      </w:r>
      <w:r>
        <w:rPr>
          <w:rFonts w:ascii="Times New Roman" w:hAnsi="Times New Roman"/>
          <w:lang w:eastAsia="tr-TR"/>
        </w:rPr>
        <w:t xml:space="preserve">le ve </w:t>
      </w:r>
      <w:r w:rsidRPr="00EF6724">
        <w:rPr>
          <w:rFonts w:ascii="Times New Roman" w:hAnsi="Times New Roman"/>
          <w:lang w:eastAsia="tr-TR"/>
        </w:rPr>
        <w:t>acil durum düzenlemelerine çok sınırlı olarak yer ver</w:t>
      </w:r>
      <w:r w:rsidR="00FA29A7">
        <w:rPr>
          <w:rFonts w:ascii="Times New Roman" w:hAnsi="Times New Roman"/>
          <w:lang w:eastAsia="tr-TR"/>
        </w:rPr>
        <w:t>mektedir</w:t>
      </w:r>
      <w:r>
        <w:rPr>
          <w:rFonts w:ascii="Times New Roman" w:hAnsi="Times New Roman"/>
          <w:lang w:eastAsia="tr-TR"/>
        </w:rPr>
        <w:t xml:space="preserve">. Ülkede olağanüstü </w:t>
      </w:r>
      <w:r w:rsidR="006245F8">
        <w:rPr>
          <w:rFonts w:ascii="Times New Roman" w:hAnsi="Times New Roman"/>
          <w:lang w:eastAsia="tr-TR"/>
        </w:rPr>
        <w:t>hâ</w:t>
      </w:r>
      <w:r>
        <w:rPr>
          <w:rFonts w:ascii="Times New Roman" w:hAnsi="Times New Roman"/>
          <w:lang w:eastAsia="tr-TR"/>
        </w:rPr>
        <w:t xml:space="preserve">lin ilan edilmediği de düşünüldüğünde, salgın çerçevesinde alınan önlemler olağan döneme ilişkin hukuk kurallarıyla yürütülmüştür. </w:t>
      </w:r>
      <w:r w:rsidR="00FA29A7">
        <w:rPr>
          <w:rFonts w:ascii="Times New Roman" w:hAnsi="Times New Roman"/>
          <w:lang w:eastAsia="tr-TR"/>
        </w:rPr>
        <w:t>Bu kapsamda, yasal zemini oluşturması için Salgın Kanunu (</w:t>
      </w:r>
      <w:proofErr w:type="spellStart"/>
      <w:r w:rsidR="00FA29A7">
        <w:rPr>
          <w:rFonts w:ascii="Times New Roman" w:hAnsi="Times New Roman"/>
          <w:lang w:eastAsia="tr-TR"/>
        </w:rPr>
        <w:t>Epidemic</w:t>
      </w:r>
      <w:proofErr w:type="spellEnd"/>
      <w:r w:rsidR="00FA29A7">
        <w:rPr>
          <w:rFonts w:ascii="Times New Roman" w:hAnsi="Times New Roman"/>
          <w:lang w:eastAsia="tr-TR"/>
        </w:rPr>
        <w:t xml:space="preserve"> </w:t>
      </w:r>
      <w:proofErr w:type="spellStart"/>
      <w:r w:rsidR="00FA29A7">
        <w:rPr>
          <w:rFonts w:ascii="Times New Roman" w:hAnsi="Times New Roman"/>
          <w:lang w:eastAsia="tr-TR"/>
        </w:rPr>
        <w:t>Act</w:t>
      </w:r>
      <w:proofErr w:type="spellEnd"/>
      <w:r w:rsidR="00FA29A7">
        <w:rPr>
          <w:rFonts w:ascii="Times New Roman" w:hAnsi="Times New Roman"/>
          <w:lang w:eastAsia="tr-TR"/>
        </w:rPr>
        <w:t>)</w:t>
      </w:r>
      <w:r w:rsidR="00FA29A7">
        <w:rPr>
          <w:rStyle w:val="FootnoteReference"/>
          <w:rFonts w:ascii="Times New Roman" w:hAnsi="Times New Roman"/>
          <w:lang w:eastAsia="tr-TR"/>
        </w:rPr>
        <w:footnoteReference w:id="35"/>
      </w:r>
      <w:r w:rsidR="00FA29A7">
        <w:rPr>
          <w:rFonts w:ascii="Times New Roman" w:hAnsi="Times New Roman"/>
          <w:lang w:eastAsia="tr-TR"/>
        </w:rPr>
        <w:t xml:space="preserve"> çıkarılmıştır. B</w:t>
      </w:r>
      <w:r>
        <w:rPr>
          <w:rFonts w:ascii="Times New Roman" w:hAnsi="Times New Roman"/>
          <w:lang w:eastAsia="tr-TR"/>
        </w:rPr>
        <w:t>ununla birlikte, her ne kadar devredilen yetkiler diğer örneklere nazaran hayli az olsa da ülkede alışılmadık biçimde hükümete devredilen</w:t>
      </w:r>
      <w:r w:rsidR="00FA29A7">
        <w:rPr>
          <w:rFonts w:ascii="Times New Roman" w:hAnsi="Times New Roman"/>
          <w:lang w:eastAsia="tr-TR"/>
        </w:rPr>
        <w:t xml:space="preserve">, </w:t>
      </w:r>
      <w:r>
        <w:rPr>
          <w:rFonts w:ascii="Times New Roman" w:hAnsi="Times New Roman"/>
          <w:lang w:eastAsia="tr-TR"/>
        </w:rPr>
        <w:t xml:space="preserve">yürütmenin elini güçlendiren yetkilerin </w:t>
      </w:r>
      <w:r w:rsidR="00FA29A7">
        <w:rPr>
          <w:rFonts w:ascii="Times New Roman" w:hAnsi="Times New Roman"/>
          <w:lang w:eastAsia="tr-TR"/>
        </w:rPr>
        <w:t xml:space="preserve">ve Başbakanın sınırlı da olsa müdahalesinin </w:t>
      </w:r>
      <w:r>
        <w:rPr>
          <w:rFonts w:ascii="Times New Roman" w:hAnsi="Times New Roman"/>
          <w:lang w:eastAsia="tr-TR"/>
        </w:rPr>
        <w:t xml:space="preserve">tartışma yarattığını söylemek gerekir. </w:t>
      </w:r>
      <w:r w:rsidR="00FA29A7">
        <w:rPr>
          <w:rFonts w:ascii="Times New Roman" w:hAnsi="Times New Roman"/>
          <w:lang w:eastAsia="tr-TR"/>
        </w:rPr>
        <w:t>Bunlara ek olarak, yasa yapma yöntemi değiştirilerek hızlandırılmış olup söz konusu değişikliğe Anayasa’nın 42. maddesinin acil durumlar gerekçesiyle izin verdiği</w:t>
      </w:r>
      <w:r w:rsidR="006245F8">
        <w:rPr>
          <w:rFonts w:ascii="Times New Roman" w:hAnsi="Times New Roman"/>
          <w:lang w:eastAsia="tr-TR"/>
        </w:rPr>
        <w:t xml:space="preserve"> de </w:t>
      </w:r>
      <w:r w:rsidR="00FA29A7">
        <w:rPr>
          <w:rFonts w:ascii="Times New Roman" w:hAnsi="Times New Roman"/>
          <w:lang w:eastAsia="tr-TR"/>
        </w:rPr>
        <w:t>belirt</w:t>
      </w:r>
      <w:r w:rsidR="006245F8">
        <w:rPr>
          <w:rFonts w:ascii="Times New Roman" w:hAnsi="Times New Roman"/>
          <w:lang w:eastAsia="tr-TR"/>
        </w:rPr>
        <w:t>ilmelidir</w:t>
      </w:r>
      <w:r w:rsidR="00FA29A7">
        <w:rPr>
          <w:rStyle w:val="FootnoteReference"/>
          <w:rFonts w:ascii="Times New Roman" w:hAnsi="Times New Roman"/>
          <w:lang w:eastAsia="tr-TR"/>
        </w:rPr>
        <w:footnoteReference w:id="36"/>
      </w:r>
      <w:r w:rsidR="00FA29A7">
        <w:rPr>
          <w:rFonts w:ascii="Times New Roman" w:hAnsi="Times New Roman"/>
          <w:lang w:eastAsia="tr-TR"/>
        </w:rPr>
        <w:t xml:space="preserve">. </w:t>
      </w:r>
      <w:r w:rsidR="00D27C73">
        <w:rPr>
          <w:rFonts w:ascii="Times New Roman" w:hAnsi="Times New Roman"/>
          <w:lang w:eastAsia="tr-TR"/>
        </w:rPr>
        <w:t>Dolayısıyla, ülkede, o</w:t>
      </w:r>
      <w:r w:rsidR="00D27C73" w:rsidRPr="00D27C73">
        <w:rPr>
          <w:rFonts w:ascii="Times New Roman" w:hAnsi="Times New Roman"/>
          <w:lang w:eastAsia="tr-TR"/>
        </w:rPr>
        <w:t xml:space="preserve">lağanüstü yasa yapma yönteminin ve </w:t>
      </w:r>
      <w:r w:rsidR="00D27C73">
        <w:rPr>
          <w:rFonts w:ascii="Times New Roman" w:hAnsi="Times New Roman"/>
          <w:lang w:eastAsia="tr-TR"/>
        </w:rPr>
        <w:t xml:space="preserve">kişi </w:t>
      </w:r>
      <w:r w:rsidR="00D27C73" w:rsidRPr="00D27C73">
        <w:rPr>
          <w:rFonts w:ascii="Times New Roman" w:hAnsi="Times New Roman"/>
          <w:lang w:eastAsia="tr-TR"/>
        </w:rPr>
        <w:t>hakların</w:t>
      </w:r>
      <w:r w:rsidR="00D27C73">
        <w:rPr>
          <w:rFonts w:ascii="Times New Roman" w:hAnsi="Times New Roman"/>
          <w:lang w:eastAsia="tr-TR"/>
        </w:rPr>
        <w:t xml:space="preserve">ın </w:t>
      </w:r>
      <w:r w:rsidR="00D27C73" w:rsidRPr="00D27C73">
        <w:rPr>
          <w:rFonts w:ascii="Times New Roman" w:hAnsi="Times New Roman"/>
          <w:lang w:eastAsia="tr-TR"/>
        </w:rPr>
        <w:t xml:space="preserve">yasal </w:t>
      </w:r>
      <w:r w:rsidR="00D27C73">
        <w:rPr>
          <w:rFonts w:ascii="Times New Roman" w:hAnsi="Times New Roman"/>
          <w:lang w:eastAsia="tr-TR"/>
        </w:rPr>
        <w:t xml:space="preserve">düzeyde de </w:t>
      </w:r>
      <w:r w:rsidR="00D27C73" w:rsidRPr="00D27C73">
        <w:rPr>
          <w:rFonts w:ascii="Times New Roman" w:hAnsi="Times New Roman"/>
          <w:lang w:eastAsia="tr-TR"/>
        </w:rPr>
        <w:t>olsa askıya alınmasının gelecekte</w:t>
      </w:r>
      <w:r w:rsidR="006245F8">
        <w:rPr>
          <w:rFonts w:ascii="Times New Roman" w:hAnsi="Times New Roman"/>
          <w:lang w:eastAsia="tr-TR"/>
        </w:rPr>
        <w:t xml:space="preserve"> farklı </w:t>
      </w:r>
      <w:r w:rsidR="00D27C73" w:rsidRPr="00D27C73">
        <w:rPr>
          <w:rFonts w:ascii="Times New Roman" w:hAnsi="Times New Roman"/>
          <w:lang w:eastAsia="tr-TR"/>
        </w:rPr>
        <w:t>krizle</w:t>
      </w:r>
      <w:r w:rsidR="006245F8">
        <w:rPr>
          <w:rFonts w:ascii="Times New Roman" w:hAnsi="Times New Roman"/>
          <w:lang w:eastAsia="tr-TR"/>
        </w:rPr>
        <w:t xml:space="preserve">rle </w:t>
      </w:r>
      <w:r w:rsidR="00D27C73" w:rsidRPr="00D27C73">
        <w:rPr>
          <w:rFonts w:ascii="Times New Roman" w:hAnsi="Times New Roman"/>
          <w:lang w:eastAsia="tr-TR"/>
        </w:rPr>
        <w:t>başa çıkmanın</w:t>
      </w:r>
      <w:r w:rsidR="00D27C73">
        <w:rPr>
          <w:rFonts w:ascii="Times New Roman" w:hAnsi="Times New Roman"/>
          <w:lang w:eastAsia="tr-TR"/>
        </w:rPr>
        <w:t xml:space="preserve"> </w:t>
      </w:r>
      <w:r w:rsidR="006245F8" w:rsidRPr="00D27C73">
        <w:rPr>
          <w:rFonts w:ascii="Times New Roman" w:hAnsi="Times New Roman"/>
          <w:lang w:eastAsia="tr-TR"/>
        </w:rPr>
        <w:t xml:space="preserve">bir </w:t>
      </w:r>
      <w:r w:rsidR="00D27C73" w:rsidRPr="00D27C73">
        <w:rPr>
          <w:rFonts w:ascii="Times New Roman" w:hAnsi="Times New Roman"/>
          <w:lang w:eastAsia="tr-TR"/>
        </w:rPr>
        <w:t>yolu olarak görülebileceği endişesi</w:t>
      </w:r>
      <w:r w:rsidR="00D27C73">
        <w:rPr>
          <w:rFonts w:ascii="Times New Roman" w:hAnsi="Times New Roman"/>
          <w:lang w:eastAsia="tr-TR"/>
        </w:rPr>
        <w:t xml:space="preserve">nin </w:t>
      </w:r>
      <w:proofErr w:type="gramStart"/>
      <w:r w:rsidR="00D27C73">
        <w:rPr>
          <w:rFonts w:ascii="Times New Roman" w:hAnsi="Times New Roman"/>
          <w:lang w:eastAsia="tr-TR"/>
        </w:rPr>
        <w:t>hakim</w:t>
      </w:r>
      <w:proofErr w:type="gramEnd"/>
      <w:r w:rsidR="00D27C73">
        <w:rPr>
          <w:rFonts w:ascii="Times New Roman" w:hAnsi="Times New Roman"/>
          <w:lang w:eastAsia="tr-TR"/>
        </w:rPr>
        <w:t xml:space="preserve"> olduğu, ancak demokratik ilkeler anlamında ülkenin genel olarak iyi bir sınav verdiği not edilmelidir.</w:t>
      </w:r>
    </w:p>
    <w:p w14:paraId="26948A31" w14:textId="65DC516F" w:rsidR="00FA29A7" w:rsidRPr="006333EB" w:rsidRDefault="00FA29A7" w:rsidP="00503EB4">
      <w:pPr>
        <w:jc w:val="both"/>
        <w:rPr>
          <w:rFonts w:ascii="Times New Roman" w:hAnsi="Times New Roman"/>
          <w:b/>
          <w:bCs/>
          <w:lang w:eastAsia="tr-TR"/>
        </w:rPr>
      </w:pPr>
      <w:r>
        <w:rPr>
          <w:rFonts w:ascii="Times New Roman" w:hAnsi="Times New Roman"/>
          <w:lang w:eastAsia="tr-TR"/>
        </w:rPr>
        <w:tab/>
      </w:r>
      <w:r w:rsidRPr="006333EB">
        <w:rPr>
          <w:rFonts w:ascii="Times New Roman" w:hAnsi="Times New Roman"/>
          <w:b/>
          <w:bCs/>
          <w:lang w:eastAsia="tr-TR"/>
        </w:rPr>
        <w:t>b. TEMEL HAK VE ÖZGÜRLÜKLERE İLİŞKİN TARTIŞMALAR</w:t>
      </w:r>
      <w:r w:rsidRPr="006333EB">
        <w:rPr>
          <w:rFonts w:ascii="Times New Roman" w:hAnsi="Times New Roman"/>
          <w:b/>
          <w:bCs/>
          <w:lang w:eastAsia="tr-TR"/>
        </w:rPr>
        <w:tab/>
      </w:r>
    </w:p>
    <w:p w14:paraId="7BD8AD5E" w14:textId="0D824A2A" w:rsidR="00FA29A7" w:rsidRDefault="00FA29A7" w:rsidP="00503EB4">
      <w:pPr>
        <w:jc w:val="both"/>
        <w:rPr>
          <w:rFonts w:ascii="Times New Roman" w:hAnsi="Times New Roman"/>
          <w:lang w:eastAsia="tr-TR"/>
        </w:rPr>
      </w:pPr>
      <w:r>
        <w:rPr>
          <w:rFonts w:ascii="Times New Roman" w:hAnsi="Times New Roman"/>
          <w:lang w:eastAsia="tr-TR"/>
        </w:rPr>
        <w:tab/>
        <w:t>Covid-19 salgını</w:t>
      </w:r>
      <w:r w:rsidR="00675717">
        <w:rPr>
          <w:rFonts w:ascii="Times New Roman" w:hAnsi="Times New Roman"/>
          <w:lang w:eastAsia="tr-TR"/>
        </w:rPr>
        <w:t xml:space="preserve">nın yarattığı tartışmaların bir diğer kanadını ise salgının </w:t>
      </w:r>
      <w:r>
        <w:rPr>
          <w:rFonts w:ascii="Times New Roman" w:hAnsi="Times New Roman"/>
          <w:lang w:eastAsia="tr-TR"/>
        </w:rPr>
        <w:t>temel hak ve özgürlükler</w:t>
      </w:r>
      <w:r w:rsidR="00675717">
        <w:rPr>
          <w:rFonts w:ascii="Times New Roman" w:hAnsi="Times New Roman"/>
          <w:lang w:eastAsia="tr-TR"/>
        </w:rPr>
        <w:t>e etkisi ve bunlara yönelik kısıtlamalarda izlenen usul oluşturmaktadır. Önlemlerin orantılı</w:t>
      </w:r>
      <w:r w:rsidR="00381C53">
        <w:rPr>
          <w:rFonts w:ascii="Times New Roman" w:hAnsi="Times New Roman"/>
          <w:lang w:eastAsia="tr-TR"/>
        </w:rPr>
        <w:t xml:space="preserve"> ve </w:t>
      </w:r>
      <w:r w:rsidR="00675717">
        <w:rPr>
          <w:rFonts w:ascii="Times New Roman" w:hAnsi="Times New Roman"/>
          <w:lang w:eastAsia="tr-TR"/>
        </w:rPr>
        <w:t>etkili olup olmadığı da bu kapsamda ele alınmaktadır. Bu anlamda salgının etkilerinin hemen her temel hak ve özgürlük üzerinde görüldüğü söylenebilir.</w:t>
      </w:r>
      <w:r>
        <w:rPr>
          <w:rFonts w:ascii="Times New Roman" w:hAnsi="Times New Roman"/>
          <w:lang w:eastAsia="tr-TR"/>
        </w:rPr>
        <w:t xml:space="preserve"> </w:t>
      </w:r>
      <w:r w:rsidR="00F37D86">
        <w:rPr>
          <w:rFonts w:ascii="Times New Roman" w:hAnsi="Times New Roman"/>
        </w:rPr>
        <w:t>Özellikle devlet organlarınca, k</w:t>
      </w:r>
      <w:r w:rsidR="00F37D86" w:rsidRPr="00A13391">
        <w:rPr>
          <w:rFonts w:ascii="Times New Roman" w:hAnsi="Times New Roman"/>
        </w:rPr>
        <w:t>amu</w:t>
      </w:r>
      <w:r w:rsidR="00F37D86">
        <w:rPr>
          <w:rFonts w:ascii="Times New Roman" w:hAnsi="Times New Roman"/>
        </w:rPr>
        <w:t xml:space="preserve"> </w:t>
      </w:r>
      <w:r w:rsidR="00F37D86" w:rsidRPr="00A13391">
        <w:rPr>
          <w:rFonts w:ascii="Times New Roman" w:hAnsi="Times New Roman"/>
        </w:rPr>
        <w:t>sağlığıyla ilgili temel</w:t>
      </w:r>
      <w:r w:rsidR="00F37D86">
        <w:rPr>
          <w:rFonts w:ascii="Times New Roman" w:hAnsi="Times New Roman"/>
        </w:rPr>
        <w:t xml:space="preserve"> </w:t>
      </w:r>
      <w:r w:rsidR="00F37D86" w:rsidRPr="00A13391">
        <w:rPr>
          <w:rFonts w:ascii="Times New Roman" w:hAnsi="Times New Roman"/>
        </w:rPr>
        <w:t xml:space="preserve">işlev ve sorumluluklar yerine getirilirken, </w:t>
      </w:r>
      <w:r w:rsidR="00F37D86">
        <w:rPr>
          <w:rFonts w:ascii="Times New Roman" w:hAnsi="Times New Roman"/>
        </w:rPr>
        <w:t xml:space="preserve">diğer temel hak ve özgürlükler üzerinde </w:t>
      </w:r>
      <w:r w:rsidR="00F37D86" w:rsidRPr="00A13391">
        <w:rPr>
          <w:rFonts w:ascii="Times New Roman" w:hAnsi="Times New Roman"/>
        </w:rPr>
        <w:t>birtakım sınırlamalar</w:t>
      </w:r>
      <w:r w:rsidR="00F37D86">
        <w:rPr>
          <w:rFonts w:ascii="Times New Roman" w:hAnsi="Times New Roman"/>
        </w:rPr>
        <w:t xml:space="preserve"> söz konusu olabilmektedir. Söz konusu olan salgın hastalıkların önlenmesi ve genel sağlığın korunması olduğunda bu sınırlamaların daha da artması olasıdır</w:t>
      </w:r>
      <w:r w:rsidR="00F37D86">
        <w:rPr>
          <w:rStyle w:val="FootnoteReference"/>
          <w:rFonts w:ascii="Times New Roman" w:hAnsi="Times New Roman"/>
        </w:rPr>
        <w:footnoteReference w:id="37"/>
      </w:r>
      <w:r w:rsidR="00F37D86">
        <w:rPr>
          <w:rFonts w:ascii="Times New Roman" w:hAnsi="Times New Roman"/>
        </w:rPr>
        <w:t>. Bunun yanında, b</w:t>
      </w:r>
      <w:r>
        <w:rPr>
          <w:rFonts w:ascii="Times New Roman" w:hAnsi="Times New Roman"/>
          <w:lang w:eastAsia="tr-TR"/>
        </w:rPr>
        <w:t xml:space="preserve">azı ülkeler </w:t>
      </w:r>
      <w:r w:rsidR="00675717">
        <w:rPr>
          <w:rFonts w:ascii="Times New Roman" w:hAnsi="Times New Roman"/>
          <w:lang w:eastAsia="tr-TR"/>
        </w:rPr>
        <w:t>haklar</w:t>
      </w:r>
      <w:r>
        <w:rPr>
          <w:rFonts w:ascii="Times New Roman" w:hAnsi="Times New Roman"/>
          <w:lang w:eastAsia="tr-TR"/>
        </w:rPr>
        <w:t xml:space="preserve"> ile salgının önlenmesi arasındaki adil dengeyi bulma konusunda titizlik gösterirken, diğer bazı ülkelerde ciddi hak ihlallerine rastlamak ve hatta salgının bu ihlallere ilişkin bir çeşit “bahaneye” dönüştürüldüğü</w:t>
      </w:r>
      <w:r w:rsidR="00F37D86">
        <w:rPr>
          <w:rFonts w:ascii="Times New Roman" w:hAnsi="Times New Roman"/>
          <w:lang w:eastAsia="tr-TR"/>
        </w:rPr>
        <w:t xml:space="preserve">nü </w:t>
      </w:r>
      <w:r>
        <w:rPr>
          <w:rFonts w:ascii="Times New Roman" w:hAnsi="Times New Roman"/>
          <w:lang w:eastAsia="tr-TR"/>
        </w:rPr>
        <w:t>gözlemlemek mümkündür</w:t>
      </w:r>
      <w:r w:rsidR="003A1B10">
        <w:rPr>
          <w:rStyle w:val="FootnoteReference"/>
          <w:rFonts w:ascii="Times New Roman" w:hAnsi="Times New Roman"/>
          <w:lang w:eastAsia="tr-TR"/>
        </w:rPr>
        <w:footnoteReference w:id="38"/>
      </w:r>
      <w:r>
        <w:rPr>
          <w:rFonts w:ascii="Times New Roman" w:hAnsi="Times New Roman"/>
          <w:lang w:eastAsia="tr-TR"/>
        </w:rPr>
        <w:t xml:space="preserve">. </w:t>
      </w:r>
      <w:r w:rsidR="006251E6">
        <w:rPr>
          <w:rFonts w:ascii="Times New Roman" w:hAnsi="Times New Roman"/>
          <w:lang w:eastAsia="tr-TR"/>
        </w:rPr>
        <w:t>Bu kapsamda, ifade özgürlüğü, do</w:t>
      </w:r>
      <w:r w:rsidR="006251E6" w:rsidRPr="006251E6">
        <w:rPr>
          <w:rFonts w:ascii="Times New Roman" w:hAnsi="Times New Roman"/>
          <w:lang w:eastAsia="tr-TR"/>
        </w:rPr>
        <w:t xml:space="preserve">laşım özgürlüğü, toplantı ve gösteri özgürlüğü, çalışma özgürlüğü, ibadet özgürlüğü, </w:t>
      </w:r>
      <w:r w:rsidR="006251E6">
        <w:rPr>
          <w:rFonts w:ascii="Times New Roman" w:hAnsi="Times New Roman"/>
          <w:lang w:eastAsia="tr-TR"/>
        </w:rPr>
        <w:t xml:space="preserve">kişisel verilerin korunması hakkı, özel hayatın gizliliği, </w:t>
      </w:r>
      <w:r w:rsidR="006251E6" w:rsidRPr="006251E6">
        <w:rPr>
          <w:rFonts w:ascii="Times New Roman" w:hAnsi="Times New Roman"/>
          <w:lang w:eastAsia="tr-TR"/>
        </w:rPr>
        <w:t>kültürel hak ve özgürlükler</w:t>
      </w:r>
      <w:r w:rsidR="006251E6">
        <w:rPr>
          <w:rFonts w:ascii="Times New Roman" w:hAnsi="Times New Roman"/>
          <w:lang w:eastAsia="tr-TR"/>
        </w:rPr>
        <w:t xml:space="preserve">, </w:t>
      </w:r>
      <w:r w:rsidR="006251E6" w:rsidRPr="006251E6">
        <w:rPr>
          <w:rFonts w:ascii="Times New Roman" w:hAnsi="Times New Roman"/>
          <w:lang w:eastAsia="tr-TR"/>
        </w:rPr>
        <w:t xml:space="preserve">eğitim </w:t>
      </w:r>
      <w:r w:rsidR="006251E6">
        <w:rPr>
          <w:rFonts w:ascii="Times New Roman" w:hAnsi="Times New Roman"/>
          <w:lang w:eastAsia="tr-TR"/>
        </w:rPr>
        <w:t xml:space="preserve">hakkı </w:t>
      </w:r>
      <w:r w:rsidR="006251E6" w:rsidRPr="006251E6">
        <w:rPr>
          <w:rFonts w:ascii="Times New Roman" w:hAnsi="Times New Roman"/>
          <w:lang w:eastAsia="tr-TR"/>
        </w:rPr>
        <w:t xml:space="preserve">ve diğer </w:t>
      </w:r>
      <w:r w:rsidR="006251E6">
        <w:rPr>
          <w:rFonts w:ascii="Times New Roman" w:hAnsi="Times New Roman"/>
          <w:lang w:eastAsia="tr-TR"/>
        </w:rPr>
        <w:t xml:space="preserve">pek çok </w:t>
      </w:r>
      <w:r w:rsidR="006251E6" w:rsidRPr="006251E6">
        <w:rPr>
          <w:rFonts w:ascii="Times New Roman" w:hAnsi="Times New Roman"/>
          <w:lang w:eastAsia="tr-TR"/>
        </w:rPr>
        <w:t>sosyal ve ekonomik hak ve özgürlü</w:t>
      </w:r>
      <w:r w:rsidR="006251E6">
        <w:rPr>
          <w:rFonts w:ascii="Times New Roman" w:hAnsi="Times New Roman"/>
          <w:lang w:eastAsia="tr-TR"/>
        </w:rPr>
        <w:t xml:space="preserve">ğün </w:t>
      </w:r>
      <w:proofErr w:type="spellStart"/>
      <w:r w:rsidR="006251E6">
        <w:rPr>
          <w:rFonts w:ascii="Times New Roman" w:hAnsi="Times New Roman"/>
          <w:lang w:eastAsia="tr-TR"/>
        </w:rPr>
        <w:t>pandemi</w:t>
      </w:r>
      <w:proofErr w:type="spellEnd"/>
      <w:r w:rsidR="006251E6">
        <w:rPr>
          <w:rFonts w:ascii="Times New Roman" w:hAnsi="Times New Roman"/>
          <w:lang w:eastAsia="tr-TR"/>
        </w:rPr>
        <w:t xml:space="preserve"> nedenli kısıtlamalardan etkilendiği açıktır. </w:t>
      </w:r>
      <w:r w:rsidR="00506154">
        <w:rPr>
          <w:rFonts w:ascii="Times New Roman" w:hAnsi="Times New Roman"/>
          <w:lang w:eastAsia="tr-TR"/>
        </w:rPr>
        <w:t xml:space="preserve">Hemen eklemek gerekir ki, </w:t>
      </w:r>
      <w:r w:rsidR="00506154" w:rsidRPr="00506154">
        <w:rPr>
          <w:rFonts w:ascii="Times New Roman" w:hAnsi="Times New Roman"/>
          <w:lang w:eastAsia="tr-TR"/>
        </w:rPr>
        <w:t>devletlerin, vatandaşlarını</w:t>
      </w:r>
      <w:r w:rsidR="00506154">
        <w:rPr>
          <w:rFonts w:ascii="Times New Roman" w:hAnsi="Times New Roman"/>
          <w:lang w:eastAsia="tr-TR"/>
        </w:rPr>
        <w:t xml:space="preserve"> </w:t>
      </w:r>
      <w:r w:rsidR="00506154" w:rsidRPr="00506154">
        <w:rPr>
          <w:rFonts w:ascii="Times New Roman" w:hAnsi="Times New Roman"/>
          <w:lang w:eastAsia="tr-TR"/>
        </w:rPr>
        <w:t>C</w:t>
      </w:r>
      <w:r w:rsidR="00506154">
        <w:rPr>
          <w:rFonts w:ascii="Times New Roman" w:hAnsi="Times New Roman"/>
          <w:lang w:eastAsia="tr-TR"/>
        </w:rPr>
        <w:t>ovid</w:t>
      </w:r>
      <w:r w:rsidR="00506154" w:rsidRPr="00506154">
        <w:rPr>
          <w:rFonts w:ascii="Times New Roman" w:hAnsi="Times New Roman"/>
          <w:lang w:eastAsia="tr-TR"/>
        </w:rPr>
        <w:t>-19 tehdidinden</w:t>
      </w:r>
      <w:r w:rsidR="00506154">
        <w:rPr>
          <w:rFonts w:ascii="Times New Roman" w:hAnsi="Times New Roman"/>
          <w:lang w:eastAsia="tr-TR"/>
        </w:rPr>
        <w:t xml:space="preserve"> </w:t>
      </w:r>
      <w:r w:rsidR="00506154" w:rsidRPr="00506154">
        <w:rPr>
          <w:rFonts w:ascii="Times New Roman" w:hAnsi="Times New Roman"/>
          <w:lang w:eastAsia="tr-TR"/>
        </w:rPr>
        <w:t>korumaya</w:t>
      </w:r>
      <w:r w:rsidR="00506154">
        <w:rPr>
          <w:rFonts w:ascii="Times New Roman" w:hAnsi="Times New Roman"/>
          <w:lang w:eastAsia="tr-TR"/>
        </w:rPr>
        <w:t xml:space="preserve"> </w:t>
      </w:r>
      <w:r w:rsidR="00506154" w:rsidRPr="00506154">
        <w:rPr>
          <w:rFonts w:ascii="Times New Roman" w:hAnsi="Times New Roman"/>
          <w:lang w:eastAsia="tr-TR"/>
        </w:rPr>
        <w:t>çalışırken</w:t>
      </w:r>
      <w:r w:rsidR="00506154">
        <w:rPr>
          <w:rFonts w:ascii="Times New Roman" w:hAnsi="Times New Roman"/>
          <w:lang w:eastAsia="tr-TR"/>
        </w:rPr>
        <w:t xml:space="preserve"> </w:t>
      </w:r>
      <w:r w:rsidR="00506154" w:rsidRPr="00506154">
        <w:rPr>
          <w:rFonts w:ascii="Times New Roman" w:hAnsi="Times New Roman"/>
          <w:lang w:eastAsia="tr-TR"/>
        </w:rPr>
        <w:t>aşılması</w:t>
      </w:r>
      <w:r w:rsidR="00506154">
        <w:rPr>
          <w:rFonts w:ascii="Times New Roman" w:hAnsi="Times New Roman"/>
          <w:lang w:eastAsia="tr-TR"/>
        </w:rPr>
        <w:t xml:space="preserve"> </w:t>
      </w:r>
      <w:r w:rsidR="00506154" w:rsidRPr="00506154">
        <w:rPr>
          <w:rFonts w:ascii="Times New Roman" w:hAnsi="Times New Roman"/>
          <w:lang w:eastAsia="tr-TR"/>
        </w:rPr>
        <w:t>güç zorluklarla karşı karşıya kaldıklar</w:t>
      </w:r>
      <w:r w:rsidR="00506154">
        <w:rPr>
          <w:rFonts w:ascii="Times New Roman" w:hAnsi="Times New Roman"/>
          <w:lang w:eastAsia="tr-TR"/>
        </w:rPr>
        <w:t>ı bir gerçektir</w:t>
      </w:r>
      <w:r w:rsidR="00506154" w:rsidRPr="00506154">
        <w:rPr>
          <w:rFonts w:ascii="Times New Roman" w:hAnsi="Times New Roman"/>
          <w:lang w:eastAsia="tr-TR"/>
        </w:rPr>
        <w:t>.</w:t>
      </w:r>
      <w:r w:rsidR="00506154">
        <w:rPr>
          <w:rFonts w:ascii="Times New Roman" w:hAnsi="Times New Roman"/>
          <w:lang w:eastAsia="tr-TR"/>
        </w:rPr>
        <w:t xml:space="preserve"> </w:t>
      </w:r>
      <w:r w:rsidR="00997FA0" w:rsidRPr="00997FA0">
        <w:rPr>
          <w:rFonts w:ascii="Times New Roman" w:hAnsi="Times New Roman"/>
          <w:lang w:eastAsia="tr-TR"/>
        </w:rPr>
        <w:t xml:space="preserve">Özellikle, virüsle mücadele için gerekli temel koruyucu tedbir olan </w:t>
      </w:r>
      <w:r w:rsidR="00997FA0">
        <w:rPr>
          <w:rFonts w:ascii="Times New Roman" w:hAnsi="Times New Roman"/>
          <w:lang w:eastAsia="tr-TR"/>
        </w:rPr>
        <w:lastRenderedPageBreak/>
        <w:t xml:space="preserve">sosyal </w:t>
      </w:r>
      <w:r w:rsidR="00997FA0" w:rsidRPr="00997FA0">
        <w:rPr>
          <w:rFonts w:ascii="Times New Roman" w:hAnsi="Times New Roman"/>
          <w:lang w:eastAsia="tr-TR"/>
        </w:rPr>
        <w:t>izolasyon</w:t>
      </w:r>
      <w:r w:rsidR="00997FA0">
        <w:rPr>
          <w:rFonts w:ascii="Times New Roman" w:hAnsi="Times New Roman"/>
          <w:lang w:eastAsia="tr-TR"/>
        </w:rPr>
        <w:t xml:space="preserve">un sağlanabilmesi için </w:t>
      </w:r>
      <w:r w:rsidR="00997FA0" w:rsidRPr="00997FA0">
        <w:rPr>
          <w:rFonts w:ascii="Times New Roman" w:hAnsi="Times New Roman"/>
          <w:lang w:eastAsia="tr-TR"/>
        </w:rPr>
        <w:t>toplumun rutin işleyişinin</w:t>
      </w:r>
      <w:r w:rsidR="00997FA0">
        <w:rPr>
          <w:rFonts w:ascii="Times New Roman" w:hAnsi="Times New Roman"/>
          <w:lang w:eastAsia="tr-TR"/>
        </w:rPr>
        <w:t xml:space="preserve"> </w:t>
      </w:r>
      <w:r w:rsidR="00997FA0" w:rsidRPr="00997FA0">
        <w:rPr>
          <w:rFonts w:ascii="Times New Roman" w:hAnsi="Times New Roman"/>
          <w:lang w:eastAsia="tr-TR"/>
        </w:rPr>
        <w:t>devam</w:t>
      </w:r>
      <w:r w:rsidR="00997FA0">
        <w:rPr>
          <w:rFonts w:ascii="Times New Roman" w:hAnsi="Times New Roman"/>
          <w:lang w:eastAsia="tr-TR"/>
        </w:rPr>
        <w:t xml:space="preserve"> </w:t>
      </w:r>
      <w:r w:rsidR="00997FA0" w:rsidRPr="00997FA0">
        <w:rPr>
          <w:rFonts w:ascii="Times New Roman" w:hAnsi="Times New Roman"/>
          <w:lang w:eastAsia="tr-TR"/>
        </w:rPr>
        <w:t>ettirilemeyeceği anlaşılmaktadır</w:t>
      </w:r>
      <w:r w:rsidR="00997FA0">
        <w:rPr>
          <w:rStyle w:val="FootnoteReference"/>
          <w:rFonts w:ascii="Times New Roman" w:hAnsi="Times New Roman"/>
          <w:lang w:eastAsia="tr-TR"/>
        </w:rPr>
        <w:footnoteReference w:id="39"/>
      </w:r>
      <w:r w:rsidR="00997FA0">
        <w:rPr>
          <w:rFonts w:ascii="Times New Roman" w:hAnsi="Times New Roman"/>
          <w:lang w:eastAsia="tr-TR"/>
        </w:rPr>
        <w:t xml:space="preserve">. </w:t>
      </w:r>
      <w:r w:rsidR="00506154">
        <w:rPr>
          <w:rFonts w:ascii="Times New Roman" w:hAnsi="Times New Roman"/>
          <w:lang w:eastAsia="tr-TR"/>
        </w:rPr>
        <w:t>Bu çerçevede hem birey hem de kamu sağlığını korumak için birtakım önlemlerin</w:t>
      </w:r>
      <w:r w:rsidR="00235F43">
        <w:rPr>
          <w:rFonts w:ascii="Times New Roman" w:hAnsi="Times New Roman"/>
          <w:lang w:eastAsia="tr-TR"/>
        </w:rPr>
        <w:t xml:space="preserve"> alındığını, ancak</w:t>
      </w:r>
      <w:r w:rsidR="00506154">
        <w:rPr>
          <w:rFonts w:ascii="Times New Roman" w:hAnsi="Times New Roman"/>
          <w:lang w:eastAsia="tr-TR"/>
        </w:rPr>
        <w:t xml:space="preserve"> </w:t>
      </w:r>
      <w:r w:rsidR="00235F43">
        <w:rPr>
          <w:rFonts w:ascii="Times New Roman" w:hAnsi="Times New Roman"/>
          <w:lang w:eastAsia="tr-TR"/>
        </w:rPr>
        <w:t xml:space="preserve">bu durumun </w:t>
      </w:r>
      <w:r w:rsidR="00506154">
        <w:rPr>
          <w:rFonts w:ascii="Times New Roman" w:hAnsi="Times New Roman"/>
          <w:lang w:eastAsia="tr-TR"/>
        </w:rPr>
        <w:t xml:space="preserve">aynı zamanda devletlerin </w:t>
      </w:r>
      <w:r w:rsidR="00235F43">
        <w:rPr>
          <w:rFonts w:ascii="Times New Roman" w:hAnsi="Times New Roman"/>
          <w:lang w:eastAsia="tr-TR"/>
        </w:rPr>
        <w:t xml:space="preserve">takdir paylarını genişlettiğini ve </w:t>
      </w:r>
      <w:r w:rsidR="00506154">
        <w:rPr>
          <w:rFonts w:ascii="Times New Roman" w:hAnsi="Times New Roman"/>
          <w:lang w:eastAsia="tr-TR"/>
        </w:rPr>
        <w:t xml:space="preserve">pozitif edimde bulunma yükümlülüklerinin </w:t>
      </w:r>
      <w:r w:rsidR="00235F43">
        <w:rPr>
          <w:rFonts w:ascii="Times New Roman" w:hAnsi="Times New Roman"/>
          <w:lang w:eastAsia="tr-TR"/>
        </w:rPr>
        <w:t xml:space="preserve">de </w:t>
      </w:r>
      <w:r w:rsidR="00506154">
        <w:rPr>
          <w:rFonts w:ascii="Times New Roman" w:hAnsi="Times New Roman"/>
          <w:lang w:eastAsia="tr-TR"/>
        </w:rPr>
        <w:t xml:space="preserve">bir </w:t>
      </w:r>
      <w:r w:rsidR="00235F43">
        <w:rPr>
          <w:rFonts w:ascii="Times New Roman" w:hAnsi="Times New Roman"/>
          <w:lang w:eastAsia="tr-TR"/>
        </w:rPr>
        <w:t xml:space="preserve">gereği </w:t>
      </w:r>
      <w:r w:rsidR="00506154">
        <w:rPr>
          <w:rFonts w:ascii="Times New Roman" w:hAnsi="Times New Roman"/>
          <w:lang w:eastAsia="tr-TR"/>
        </w:rPr>
        <w:t>olduğunu kabul etmek gerekir</w:t>
      </w:r>
      <w:r w:rsidR="00506154">
        <w:rPr>
          <w:rStyle w:val="FootnoteReference"/>
          <w:rFonts w:ascii="Times New Roman" w:hAnsi="Times New Roman"/>
          <w:lang w:eastAsia="tr-TR"/>
        </w:rPr>
        <w:footnoteReference w:id="40"/>
      </w:r>
      <w:r w:rsidR="00506154">
        <w:rPr>
          <w:rFonts w:ascii="Times New Roman" w:hAnsi="Times New Roman"/>
          <w:lang w:eastAsia="tr-TR"/>
        </w:rPr>
        <w:t xml:space="preserve">. </w:t>
      </w:r>
      <w:r w:rsidR="005C0717">
        <w:rPr>
          <w:rFonts w:ascii="Times New Roman" w:hAnsi="Times New Roman"/>
          <w:lang w:eastAsia="tr-TR"/>
        </w:rPr>
        <w:t xml:space="preserve">Gerçekten de </w:t>
      </w:r>
      <w:r w:rsidR="005C0717" w:rsidRPr="005C0717">
        <w:rPr>
          <w:rFonts w:ascii="Times New Roman" w:hAnsi="Times New Roman"/>
          <w:lang w:eastAsia="tr-TR"/>
        </w:rPr>
        <w:t xml:space="preserve">hemen </w:t>
      </w:r>
      <w:r w:rsidR="005C0717">
        <w:rPr>
          <w:rFonts w:ascii="Times New Roman" w:hAnsi="Times New Roman"/>
          <w:lang w:eastAsia="tr-TR"/>
        </w:rPr>
        <w:t xml:space="preserve">her </w:t>
      </w:r>
      <w:r w:rsidR="005C0717" w:rsidRPr="005C0717">
        <w:rPr>
          <w:rFonts w:ascii="Times New Roman" w:hAnsi="Times New Roman"/>
          <w:lang w:eastAsia="tr-TR"/>
        </w:rPr>
        <w:t xml:space="preserve">ülkede </w:t>
      </w:r>
      <w:r w:rsidR="00F37D86">
        <w:rPr>
          <w:rFonts w:ascii="Times New Roman" w:hAnsi="Times New Roman"/>
          <w:lang w:eastAsia="tr-TR"/>
        </w:rPr>
        <w:t>karşımıza çıkan</w:t>
      </w:r>
      <w:r w:rsidR="005C0717" w:rsidRPr="005C0717">
        <w:rPr>
          <w:rFonts w:ascii="Times New Roman" w:hAnsi="Times New Roman"/>
          <w:lang w:eastAsia="tr-TR"/>
        </w:rPr>
        <w:t xml:space="preserve"> maske</w:t>
      </w:r>
      <w:r w:rsidR="005C0717">
        <w:rPr>
          <w:rFonts w:ascii="Times New Roman" w:hAnsi="Times New Roman"/>
          <w:lang w:eastAsia="tr-TR"/>
        </w:rPr>
        <w:t xml:space="preserve"> ve </w:t>
      </w:r>
      <w:r w:rsidR="005C0717" w:rsidRPr="005C0717">
        <w:rPr>
          <w:rFonts w:ascii="Times New Roman" w:hAnsi="Times New Roman"/>
          <w:lang w:eastAsia="tr-TR"/>
        </w:rPr>
        <w:t xml:space="preserve">sosyal mesafe zorunluluğu </w:t>
      </w:r>
      <w:r w:rsidR="005C0717">
        <w:rPr>
          <w:rFonts w:ascii="Times New Roman" w:hAnsi="Times New Roman"/>
          <w:lang w:eastAsia="tr-TR"/>
        </w:rPr>
        <w:t xml:space="preserve">ile </w:t>
      </w:r>
      <w:r w:rsidR="005C0717" w:rsidRPr="005C0717">
        <w:rPr>
          <w:rFonts w:ascii="Times New Roman" w:hAnsi="Times New Roman"/>
          <w:lang w:eastAsia="tr-TR"/>
        </w:rPr>
        <w:t>bazı iş yerlerinin kapatılması gibi</w:t>
      </w:r>
      <w:r w:rsidR="005C0717">
        <w:rPr>
          <w:rFonts w:ascii="Times New Roman" w:hAnsi="Times New Roman"/>
          <w:lang w:eastAsia="tr-TR"/>
        </w:rPr>
        <w:t xml:space="preserve"> önlemler</w:t>
      </w:r>
      <w:r w:rsidR="005C0717" w:rsidRPr="005C0717">
        <w:rPr>
          <w:rFonts w:ascii="Times New Roman" w:hAnsi="Times New Roman"/>
          <w:lang w:eastAsia="tr-TR"/>
        </w:rPr>
        <w:t>, aslında devlet</w:t>
      </w:r>
      <w:r w:rsidR="005C0717">
        <w:rPr>
          <w:rFonts w:ascii="Times New Roman" w:hAnsi="Times New Roman"/>
          <w:lang w:eastAsia="tr-TR"/>
        </w:rPr>
        <w:t xml:space="preserve">lerin söz konusu </w:t>
      </w:r>
      <w:r w:rsidR="005C0717" w:rsidRPr="005C0717">
        <w:rPr>
          <w:rFonts w:ascii="Times New Roman" w:hAnsi="Times New Roman"/>
          <w:lang w:eastAsia="tr-TR"/>
        </w:rPr>
        <w:t>yükümlülü</w:t>
      </w:r>
      <w:r w:rsidR="005C0717">
        <w:rPr>
          <w:rFonts w:ascii="Times New Roman" w:hAnsi="Times New Roman"/>
          <w:lang w:eastAsia="tr-TR"/>
        </w:rPr>
        <w:t>klerin</w:t>
      </w:r>
      <w:r w:rsidR="00F37D86">
        <w:rPr>
          <w:rFonts w:ascii="Times New Roman" w:hAnsi="Times New Roman"/>
          <w:lang w:eastAsia="tr-TR"/>
        </w:rPr>
        <w:t xml:space="preserve">i </w:t>
      </w:r>
      <w:r w:rsidR="005C0717" w:rsidRPr="005C0717">
        <w:rPr>
          <w:rFonts w:ascii="Times New Roman" w:hAnsi="Times New Roman"/>
          <w:lang w:eastAsia="tr-TR"/>
        </w:rPr>
        <w:t>yerine getirme</w:t>
      </w:r>
      <w:r w:rsidR="005C0717">
        <w:rPr>
          <w:rFonts w:ascii="Times New Roman" w:hAnsi="Times New Roman"/>
          <w:lang w:eastAsia="tr-TR"/>
        </w:rPr>
        <w:t>lerine dönük uygulamalar</w:t>
      </w:r>
      <w:r w:rsidR="00F37D86">
        <w:rPr>
          <w:rFonts w:ascii="Times New Roman" w:hAnsi="Times New Roman"/>
          <w:lang w:eastAsia="tr-TR"/>
        </w:rPr>
        <w:t>dır</w:t>
      </w:r>
      <w:r w:rsidR="005C0717" w:rsidRPr="005C0717">
        <w:rPr>
          <w:rFonts w:ascii="Times New Roman" w:hAnsi="Times New Roman"/>
          <w:lang w:eastAsia="tr-TR"/>
        </w:rPr>
        <w:t>.</w:t>
      </w:r>
      <w:r w:rsidR="00F37D86">
        <w:rPr>
          <w:rFonts w:ascii="Times New Roman" w:hAnsi="Times New Roman"/>
          <w:lang w:eastAsia="tr-TR"/>
        </w:rPr>
        <w:t xml:space="preserve"> </w:t>
      </w:r>
      <w:r w:rsidR="00997FA0">
        <w:rPr>
          <w:rFonts w:ascii="Times New Roman" w:hAnsi="Times New Roman"/>
          <w:lang w:eastAsia="tr-TR"/>
        </w:rPr>
        <w:t>Daha özelde d</w:t>
      </w:r>
      <w:r w:rsidR="00235F43">
        <w:rPr>
          <w:rFonts w:ascii="Times New Roman" w:hAnsi="Times New Roman"/>
          <w:lang w:eastAsia="tr-TR"/>
        </w:rPr>
        <w:t>evletlerin</w:t>
      </w:r>
      <w:r w:rsidR="00997FA0">
        <w:rPr>
          <w:rFonts w:ascii="Times New Roman" w:hAnsi="Times New Roman"/>
          <w:lang w:eastAsia="tr-TR"/>
        </w:rPr>
        <w:t xml:space="preserve">, AİHS’nin 2. maddesinde de güvence altına alınan yaşam hakkını korumaya dönük </w:t>
      </w:r>
      <w:r w:rsidR="00235F43">
        <w:rPr>
          <w:rFonts w:ascii="Times New Roman" w:hAnsi="Times New Roman"/>
          <w:lang w:eastAsia="tr-TR"/>
        </w:rPr>
        <w:t>tedbirler</w:t>
      </w:r>
      <w:r w:rsidR="007E1EF9">
        <w:rPr>
          <w:rFonts w:ascii="Times New Roman" w:hAnsi="Times New Roman"/>
          <w:lang w:eastAsia="tr-TR"/>
        </w:rPr>
        <w:t xml:space="preserve"> alarak</w:t>
      </w:r>
      <w:r w:rsidR="00235F43">
        <w:rPr>
          <w:rFonts w:ascii="Times New Roman" w:hAnsi="Times New Roman"/>
          <w:lang w:eastAsia="tr-TR"/>
        </w:rPr>
        <w:t xml:space="preserve"> pozitif yükümlülüklerin</w:t>
      </w:r>
      <w:r w:rsidR="007E1EF9">
        <w:rPr>
          <w:rFonts w:ascii="Times New Roman" w:hAnsi="Times New Roman"/>
          <w:lang w:eastAsia="tr-TR"/>
        </w:rPr>
        <w:t>i yerine getirip getirmediğini saptayabilmek içinse</w:t>
      </w:r>
      <w:r w:rsidR="00235F43">
        <w:rPr>
          <w:rFonts w:ascii="Times New Roman" w:hAnsi="Times New Roman"/>
          <w:lang w:eastAsia="tr-TR"/>
        </w:rPr>
        <w:t xml:space="preserve">, devletin herhangi bir hakka yönelik etki doğuran önleminin </w:t>
      </w:r>
      <w:proofErr w:type="spellStart"/>
      <w:r w:rsidR="00235F43">
        <w:rPr>
          <w:rFonts w:ascii="Times New Roman" w:hAnsi="Times New Roman"/>
          <w:lang w:eastAsia="tr-TR"/>
        </w:rPr>
        <w:t>pandemi</w:t>
      </w:r>
      <w:proofErr w:type="spellEnd"/>
      <w:r w:rsidR="00235F43">
        <w:rPr>
          <w:rFonts w:ascii="Times New Roman" w:hAnsi="Times New Roman"/>
          <w:lang w:eastAsia="tr-TR"/>
        </w:rPr>
        <w:t xml:space="preserve"> kaynaklı ölümler nedeniyle alınıp alınmadığı, devletin müdahalesinin kapsamı ve etkililiği de dikkate alınmalıdır</w:t>
      </w:r>
      <w:r w:rsidR="00235F43">
        <w:rPr>
          <w:rStyle w:val="FootnoteReference"/>
          <w:rFonts w:ascii="Times New Roman" w:hAnsi="Times New Roman"/>
          <w:lang w:eastAsia="tr-TR"/>
        </w:rPr>
        <w:footnoteReference w:id="41"/>
      </w:r>
      <w:r w:rsidR="00235F43">
        <w:rPr>
          <w:rFonts w:ascii="Times New Roman" w:hAnsi="Times New Roman"/>
          <w:lang w:eastAsia="tr-TR"/>
        </w:rPr>
        <w:t>.</w:t>
      </w:r>
      <w:r w:rsidR="007E1EF9">
        <w:rPr>
          <w:rFonts w:ascii="Times New Roman" w:hAnsi="Times New Roman"/>
          <w:lang w:eastAsia="tr-TR"/>
        </w:rPr>
        <w:t xml:space="preserve"> </w:t>
      </w:r>
      <w:r w:rsidR="00506154">
        <w:rPr>
          <w:rFonts w:ascii="Times New Roman" w:hAnsi="Times New Roman"/>
          <w:lang w:eastAsia="tr-TR"/>
        </w:rPr>
        <w:t xml:space="preserve">Bununla birlikte, burada tartışma konusu olan salgının yayılmasını önlemek amaçlı alınan önlemlerin gerekli olup olmadığı değil, gerçekleştirilen uygulamaların </w:t>
      </w:r>
      <w:proofErr w:type="spellStart"/>
      <w:r w:rsidR="00506154">
        <w:rPr>
          <w:rFonts w:ascii="Times New Roman" w:hAnsi="Times New Roman"/>
          <w:lang w:eastAsia="tr-TR"/>
        </w:rPr>
        <w:t>pandemi</w:t>
      </w:r>
      <w:proofErr w:type="spellEnd"/>
      <w:r w:rsidR="00506154">
        <w:rPr>
          <w:rFonts w:ascii="Times New Roman" w:hAnsi="Times New Roman"/>
          <w:lang w:eastAsia="tr-TR"/>
        </w:rPr>
        <w:t xml:space="preserve"> gibi olağanüstü şartlarda dahi çoğulcu demokratik ilkelerle uyum içinde olup olmadığıdır. </w:t>
      </w:r>
      <w:r w:rsidR="00997FA0">
        <w:rPr>
          <w:rFonts w:ascii="Times New Roman" w:hAnsi="Times New Roman"/>
          <w:lang w:eastAsia="tr-TR"/>
        </w:rPr>
        <w:t xml:space="preserve">Gerçekten de </w:t>
      </w:r>
      <w:r w:rsidR="00997FA0" w:rsidRPr="00997FA0">
        <w:rPr>
          <w:rFonts w:ascii="Times New Roman" w:hAnsi="Times New Roman"/>
          <w:lang w:eastAsia="tr-TR"/>
        </w:rPr>
        <w:t>devletlerin karşılaşacağı en önemli sosyal, siyasal ve hukuki zorluk, bir yandan, aldıkları tedbirlerin, uzun vadede</w:t>
      </w:r>
      <w:r w:rsidR="00997FA0">
        <w:rPr>
          <w:rFonts w:ascii="Times New Roman" w:hAnsi="Times New Roman"/>
          <w:lang w:eastAsia="tr-TR"/>
        </w:rPr>
        <w:t xml:space="preserve"> </w:t>
      </w:r>
      <w:r w:rsidR="00997FA0" w:rsidRPr="00997FA0">
        <w:rPr>
          <w:rFonts w:ascii="Times New Roman" w:hAnsi="Times New Roman"/>
          <w:lang w:eastAsia="tr-TR"/>
        </w:rPr>
        <w:t>demokrasi, hukukun üstünlüğü ve insan haklarını güvenceye alma hedef</w:t>
      </w:r>
      <w:r w:rsidR="00997FA0">
        <w:rPr>
          <w:rFonts w:ascii="Times New Roman" w:hAnsi="Times New Roman"/>
          <w:lang w:eastAsia="tr-TR"/>
        </w:rPr>
        <w:t xml:space="preserve">ine </w:t>
      </w:r>
      <w:r w:rsidR="00997FA0" w:rsidRPr="00997FA0">
        <w:rPr>
          <w:rFonts w:ascii="Times New Roman" w:hAnsi="Times New Roman"/>
          <w:lang w:eastAsia="tr-TR"/>
        </w:rPr>
        <w:t>zarar vermemesini sağlarken, bir yandan da bu kriz</w:t>
      </w:r>
      <w:r w:rsidR="00997FA0">
        <w:rPr>
          <w:rFonts w:ascii="Times New Roman" w:hAnsi="Times New Roman"/>
          <w:lang w:eastAsia="tr-TR"/>
        </w:rPr>
        <w:t xml:space="preserve">le </w:t>
      </w:r>
      <w:r w:rsidR="00997FA0" w:rsidRPr="00997FA0">
        <w:rPr>
          <w:rFonts w:ascii="Times New Roman" w:hAnsi="Times New Roman"/>
          <w:lang w:eastAsia="tr-TR"/>
        </w:rPr>
        <w:t>etkili bir şekilde mü</w:t>
      </w:r>
      <w:r w:rsidR="00997FA0">
        <w:rPr>
          <w:rFonts w:ascii="Times New Roman" w:hAnsi="Times New Roman"/>
          <w:lang w:eastAsia="tr-TR"/>
        </w:rPr>
        <w:t>cadele</w:t>
      </w:r>
      <w:r w:rsidR="00997FA0" w:rsidRPr="00997FA0">
        <w:rPr>
          <w:rFonts w:ascii="Times New Roman" w:hAnsi="Times New Roman"/>
          <w:lang w:eastAsia="tr-TR"/>
        </w:rPr>
        <w:t xml:space="preserve"> edebilmek olacaktır</w:t>
      </w:r>
      <w:r w:rsidR="00997FA0">
        <w:rPr>
          <w:rStyle w:val="FootnoteReference"/>
          <w:rFonts w:ascii="Times New Roman" w:hAnsi="Times New Roman"/>
          <w:lang w:eastAsia="tr-TR"/>
        </w:rPr>
        <w:footnoteReference w:id="42"/>
      </w:r>
      <w:r w:rsidR="00997FA0">
        <w:rPr>
          <w:rFonts w:ascii="Times New Roman" w:hAnsi="Times New Roman"/>
          <w:lang w:eastAsia="tr-TR"/>
        </w:rPr>
        <w:t xml:space="preserve">. </w:t>
      </w:r>
      <w:r>
        <w:rPr>
          <w:rFonts w:ascii="Times New Roman" w:hAnsi="Times New Roman"/>
          <w:lang w:eastAsia="tr-TR"/>
        </w:rPr>
        <w:t>Avrupa Birliği üye ülkeleri</w:t>
      </w:r>
      <w:r w:rsidR="006251E6">
        <w:rPr>
          <w:rFonts w:ascii="Times New Roman" w:hAnsi="Times New Roman"/>
          <w:lang w:eastAsia="tr-TR"/>
        </w:rPr>
        <w:t xml:space="preserve">nden </w:t>
      </w:r>
      <w:r>
        <w:rPr>
          <w:rFonts w:ascii="Times New Roman" w:hAnsi="Times New Roman"/>
          <w:lang w:eastAsia="tr-TR"/>
        </w:rPr>
        <w:t>Macaristan ve Polonya</w:t>
      </w:r>
      <w:r w:rsidR="00493945">
        <w:rPr>
          <w:rFonts w:ascii="Times New Roman" w:hAnsi="Times New Roman"/>
          <w:lang w:eastAsia="tr-TR"/>
        </w:rPr>
        <w:t xml:space="preserve">’nın </w:t>
      </w:r>
      <w:r w:rsidR="00997FA0">
        <w:rPr>
          <w:rFonts w:ascii="Times New Roman" w:hAnsi="Times New Roman"/>
          <w:lang w:eastAsia="tr-TR"/>
        </w:rPr>
        <w:t xml:space="preserve">ise </w:t>
      </w:r>
      <w:r w:rsidR="00493945">
        <w:rPr>
          <w:rFonts w:ascii="Times New Roman" w:hAnsi="Times New Roman"/>
          <w:lang w:eastAsia="tr-TR"/>
        </w:rPr>
        <w:t xml:space="preserve">bu konuda sicillerinin </w:t>
      </w:r>
      <w:r w:rsidR="00997FA0">
        <w:rPr>
          <w:rFonts w:ascii="Times New Roman" w:hAnsi="Times New Roman"/>
          <w:lang w:eastAsia="tr-TR"/>
        </w:rPr>
        <w:t xml:space="preserve">çok da ‘temiz’ </w:t>
      </w:r>
      <w:r w:rsidR="00493945">
        <w:rPr>
          <w:rFonts w:ascii="Times New Roman" w:hAnsi="Times New Roman"/>
          <w:lang w:eastAsia="tr-TR"/>
        </w:rPr>
        <w:t>ol</w:t>
      </w:r>
      <w:r w:rsidR="00997FA0">
        <w:rPr>
          <w:rFonts w:ascii="Times New Roman" w:hAnsi="Times New Roman"/>
          <w:lang w:eastAsia="tr-TR"/>
        </w:rPr>
        <w:t>madığını</w:t>
      </w:r>
      <w:r w:rsidR="00493945">
        <w:rPr>
          <w:rFonts w:ascii="Times New Roman" w:hAnsi="Times New Roman"/>
          <w:lang w:eastAsia="tr-TR"/>
        </w:rPr>
        <w:t xml:space="preserve"> söyle</w:t>
      </w:r>
      <w:r w:rsidR="006251E6">
        <w:rPr>
          <w:rFonts w:ascii="Times New Roman" w:hAnsi="Times New Roman"/>
          <w:lang w:eastAsia="tr-TR"/>
        </w:rPr>
        <w:t>yerek</w:t>
      </w:r>
      <w:r w:rsidR="00997FA0">
        <w:rPr>
          <w:rFonts w:ascii="Times New Roman" w:hAnsi="Times New Roman"/>
          <w:lang w:eastAsia="tr-TR"/>
        </w:rPr>
        <w:t xml:space="preserve"> </w:t>
      </w:r>
      <w:r w:rsidR="006251E6">
        <w:rPr>
          <w:rFonts w:ascii="Times New Roman" w:hAnsi="Times New Roman"/>
          <w:lang w:eastAsia="tr-TR"/>
        </w:rPr>
        <w:t xml:space="preserve">başlamak </w:t>
      </w:r>
      <w:r w:rsidR="00493945">
        <w:rPr>
          <w:rFonts w:ascii="Times New Roman" w:hAnsi="Times New Roman"/>
          <w:lang w:eastAsia="tr-TR"/>
        </w:rPr>
        <w:t xml:space="preserve">gerekir. Öyle ki her iki ülkede de alınan önlemlerin bir kısmının salgının önlenmesi temasıyla ilgisi olmadığı gibi çoğulcu demokratik ilkelerle de çatışma halindedir. </w:t>
      </w:r>
    </w:p>
    <w:p w14:paraId="4B853F78" w14:textId="43A6D89D" w:rsidR="008B5E15" w:rsidRDefault="00493945" w:rsidP="00503EB4">
      <w:pPr>
        <w:jc w:val="both"/>
        <w:rPr>
          <w:rFonts w:ascii="Times New Roman" w:hAnsi="Times New Roman"/>
          <w:lang w:eastAsia="tr-TR"/>
        </w:rPr>
      </w:pPr>
      <w:r>
        <w:rPr>
          <w:rFonts w:ascii="Times New Roman" w:hAnsi="Times New Roman"/>
          <w:lang w:eastAsia="tr-TR"/>
        </w:rPr>
        <w:tab/>
      </w:r>
      <w:r w:rsidR="00336E79">
        <w:rPr>
          <w:rFonts w:ascii="Times New Roman" w:hAnsi="Times New Roman"/>
          <w:lang w:eastAsia="tr-TR"/>
        </w:rPr>
        <w:t xml:space="preserve">İlk olarak, </w:t>
      </w:r>
      <w:r>
        <w:rPr>
          <w:rFonts w:ascii="Times New Roman" w:hAnsi="Times New Roman"/>
          <w:lang w:eastAsia="tr-TR"/>
        </w:rPr>
        <w:t>Macaristan Başbakan</w:t>
      </w:r>
      <w:r w:rsidR="00336E79">
        <w:rPr>
          <w:rFonts w:ascii="Times New Roman" w:hAnsi="Times New Roman"/>
          <w:lang w:eastAsia="tr-TR"/>
        </w:rPr>
        <w:t xml:space="preserve">ı </w:t>
      </w:r>
      <w:proofErr w:type="spellStart"/>
      <w:r w:rsidRPr="00493945">
        <w:rPr>
          <w:rFonts w:ascii="Times New Roman" w:hAnsi="Times New Roman"/>
          <w:i/>
          <w:iCs/>
          <w:lang w:eastAsia="tr-TR"/>
        </w:rPr>
        <w:t>Viktor</w:t>
      </w:r>
      <w:proofErr w:type="spellEnd"/>
      <w:r w:rsidRPr="00493945">
        <w:rPr>
          <w:rFonts w:ascii="Times New Roman" w:hAnsi="Times New Roman"/>
          <w:i/>
          <w:iCs/>
          <w:lang w:eastAsia="tr-TR"/>
        </w:rPr>
        <w:t xml:space="preserve"> </w:t>
      </w:r>
      <w:proofErr w:type="spellStart"/>
      <w:r w:rsidRPr="00493945">
        <w:rPr>
          <w:rFonts w:ascii="Times New Roman" w:hAnsi="Times New Roman"/>
          <w:i/>
          <w:iCs/>
          <w:lang w:eastAsia="tr-TR"/>
        </w:rPr>
        <w:t>Orbán</w:t>
      </w:r>
      <w:proofErr w:type="spellEnd"/>
      <w:r>
        <w:rPr>
          <w:rFonts w:ascii="Times New Roman" w:hAnsi="Times New Roman"/>
          <w:lang w:eastAsia="tr-TR"/>
        </w:rPr>
        <w:t xml:space="preserve"> hükümetinin uyguladığı salgın politikaları ciddi ölçüde tartışmaya açıktır. Öyle ki, Avrupa Konseyi Genel Sekreteri de doğrudan Başbakan’a hitaben kaleme aldığı mektupta bu konuya değinmekte ve kendisine özgür ve demokratik topluma ilişkin ilkeler ve insan hakları gibi çoğulcu demokratik değerler hatırlatılmaktadır</w:t>
      </w:r>
      <w:r>
        <w:rPr>
          <w:rStyle w:val="FootnoteReference"/>
          <w:rFonts w:ascii="Times New Roman" w:hAnsi="Times New Roman"/>
          <w:lang w:eastAsia="tr-TR"/>
        </w:rPr>
        <w:footnoteReference w:id="43"/>
      </w:r>
      <w:r>
        <w:rPr>
          <w:rFonts w:ascii="Times New Roman" w:hAnsi="Times New Roman"/>
          <w:lang w:eastAsia="tr-TR"/>
        </w:rPr>
        <w:t>.</w:t>
      </w:r>
      <w:r w:rsidR="006251E6">
        <w:rPr>
          <w:rFonts w:ascii="Times New Roman" w:hAnsi="Times New Roman"/>
          <w:lang w:eastAsia="tr-TR"/>
        </w:rPr>
        <w:t xml:space="preserve"> Gerçekten de Macaristan’da, yukarıda yer verilen yetki genişlemelerinin de doğrudan sonucu olarak, hukukun </w:t>
      </w:r>
      <w:proofErr w:type="spellStart"/>
      <w:r w:rsidR="006251E6">
        <w:rPr>
          <w:rFonts w:ascii="Times New Roman" w:hAnsi="Times New Roman"/>
          <w:lang w:eastAsia="tr-TR"/>
        </w:rPr>
        <w:t>araçsallaştırılmasının</w:t>
      </w:r>
      <w:proofErr w:type="spellEnd"/>
      <w:r w:rsidR="006251E6">
        <w:rPr>
          <w:rFonts w:ascii="Times New Roman" w:hAnsi="Times New Roman"/>
          <w:lang w:eastAsia="tr-TR"/>
        </w:rPr>
        <w:t xml:space="preserve"> </w:t>
      </w:r>
      <w:r w:rsidR="003A7171">
        <w:rPr>
          <w:rFonts w:ascii="Times New Roman" w:hAnsi="Times New Roman"/>
          <w:lang w:eastAsia="tr-TR"/>
        </w:rPr>
        <w:t>pek çok</w:t>
      </w:r>
      <w:r w:rsidR="006251E6">
        <w:rPr>
          <w:rFonts w:ascii="Times New Roman" w:hAnsi="Times New Roman"/>
          <w:lang w:eastAsia="tr-TR"/>
        </w:rPr>
        <w:t xml:space="preserve"> örneğine rastlamak mümkündür.</w:t>
      </w:r>
      <w:r w:rsidR="003A7171">
        <w:rPr>
          <w:rFonts w:ascii="Times New Roman" w:hAnsi="Times New Roman"/>
          <w:lang w:eastAsia="tr-TR"/>
        </w:rPr>
        <w:t xml:space="preserve"> Ülkede, bazı </w:t>
      </w:r>
      <w:r w:rsidR="003A7171" w:rsidRPr="003A7171">
        <w:rPr>
          <w:rFonts w:ascii="Times New Roman" w:hAnsi="Times New Roman"/>
          <w:lang w:eastAsia="tr-TR"/>
        </w:rPr>
        <w:t>hastaneler</w:t>
      </w:r>
      <w:r w:rsidR="003A7171">
        <w:rPr>
          <w:rFonts w:ascii="Times New Roman" w:hAnsi="Times New Roman"/>
          <w:lang w:eastAsia="tr-TR"/>
        </w:rPr>
        <w:t>de ve</w:t>
      </w:r>
      <w:r w:rsidR="003A7171" w:rsidRPr="003A7171">
        <w:rPr>
          <w:rFonts w:ascii="Times New Roman" w:hAnsi="Times New Roman"/>
          <w:lang w:eastAsia="tr-TR"/>
        </w:rPr>
        <w:t xml:space="preserve"> stratejik öneme sahip şirket</w:t>
      </w:r>
      <w:r w:rsidR="003A7171">
        <w:rPr>
          <w:rFonts w:ascii="Times New Roman" w:hAnsi="Times New Roman"/>
          <w:lang w:eastAsia="tr-TR"/>
        </w:rPr>
        <w:t xml:space="preserve">lerde </w:t>
      </w:r>
      <w:r w:rsidR="003A7171" w:rsidRPr="003A7171">
        <w:rPr>
          <w:rFonts w:ascii="Times New Roman" w:hAnsi="Times New Roman"/>
          <w:lang w:eastAsia="tr-TR"/>
        </w:rPr>
        <w:t>askeri yetkilileri görevlendi</w:t>
      </w:r>
      <w:r w:rsidR="003A7171">
        <w:rPr>
          <w:rFonts w:ascii="Times New Roman" w:hAnsi="Times New Roman"/>
          <w:lang w:eastAsia="tr-TR"/>
        </w:rPr>
        <w:t xml:space="preserve">rmesi buna ilişkin örneklerden biridir. Her ne kadar İtalya ve ABD gibi ülkelerde de salgınla mücadele için askeri birimlerden destek alınmış olsa da </w:t>
      </w:r>
      <w:r w:rsidR="003A7171" w:rsidRPr="003A7171">
        <w:rPr>
          <w:rFonts w:ascii="Times New Roman" w:hAnsi="Times New Roman"/>
          <w:lang w:eastAsia="tr-TR"/>
        </w:rPr>
        <w:t>askeri birlikler</w:t>
      </w:r>
      <w:r w:rsidR="003A7171">
        <w:rPr>
          <w:rFonts w:ascii="Times New Roman" w:hAnsi="Times New Roman"/>
          <w:lang w:eastAsia="tr-TR"/>
        </w:rPr>
        <w:t xml:space="preserve">in </w:t>
      </w:r>
      <w:r w:rsidR="003A7171" w:rsidRPr="003A7171">
        <w:rPr>
          <w:rFonts w:ascii="Times New Roman" w:hAnsi="Times New Roman"/>
          <w:lang w:eastAsia="tr-TR"/>
        </w:rPr>
        <w:t xml:space="preserve">Macaristan'da </w:t>
      </w:r>
      <w:r w:rsidR="003A7171">
        <w:rPr>
          <w:rFonts w:ascii="Times New Roman" w:hAnsi="Times New Roman"/>
          <w:lang w:eastAsia="tr-TR"/>
        </w:rPr>
        <w:t xml:space="preserve">bir tür </w:t>
      </w:r>
      <w:r w:rsidR="003A7171" w:rsidRPr="003A7171">
        <w:rPr>
          <w:rFonts w:ascii="Times New Roman" w:hAnsi="Times New Roman"/>
          <w:lang w:eastAsia="tr-TR"/>
        </w:rPr>
        <w:t>sosyal kontrol veya ekonomik rehberlik amacıyla faaliyetini sürdür</w:t>
      </w:r>
      <w:r w:rsidR="003A7171">
        <w:rPr>
          <w:rFonts w:ascii="Times New Roman" w:hAnsi="Times New Roman"/>
          <w:lang w:eastAsia="tr-TR"/>
        </w:rPr>
        <w:t>düğü görülmektedir</w:t>
      </w:r>
      <w:r w:rsidR="003A7171">
        <w:rPr>
          <w:rStyle w:val="FootnoteReference"/>
          <w:rFonts w:ascii="Times New Roman" w:hAnsi="Times New Roman"/>
          <w:lang w:eastAsia="tr-TR"/>
        </w:rPr>
        <w:footnoteReference w:id="44"/>
      </w:r>
      <w:r w:rsidR="003A7171">
        <w:rPr>
          <w:rFonts w:ascii="Times New Roman" w:hAnsi="Times New Roman"/>
          <w:lang w:eastAsia="tr-TR"/>
        </w:rPr>
        <w:t>.</w:t>
      </w:r>
      <w:r w:rsidR="008B5E15">
        <w:rPr>
          <w:rFonts w:ascii="Times New Roman" w:hAnsi="Times New Roman"/>
          <w:lang w:eastAsia="tr-TR"/>
        </w:rPr>
        <w:t xml:space="preserve"> Macar hükümeti ayrıca, salgının önlenmesi mahiyetini aşan birtakım temel hak sınırlamalarıyla da gündemde olmaya devam e</w:t>
      </w:r>
      <w:r w:rsidR="004C28F8">
        <w:rPr>
          <w:rFonts w:ascii="Times New Roman" w:hAnsi="Times New Roman"/>
          <w:lang w:eastAsia="tr-TR"/>
        </w:rPr>
        <w:t>tmektedi</w:t>
      </w:r>
      <w:r w:rsidR="008B5E15">
        <w:rPr>
          <w:rFonts w:ascii="Times New Roman" w:hAnsi="Times New Roman"/>
          <w:lang w:eastAsia="tr-TR"/>
        </w:rPr>
        <w:t xml:space="preserve">r. Öncelikle söz konusu </w:t>
      </w:r>
      <w:r w:rsidR="008B5E15" w:rsidRPr="008B5E15">
        <w:rPr>
          <w:rFonts w:ascii="Times New Roman" w:hAnsi="Times New Roman"/>
          <w:lang w:eastAsia="tr-TR"/>
        </w:rPr>
        <w:t>kısıtlamalara ilişkin kuralları</w:t>
      </w:r>
      <w:r w:rsidR="008B5E15">
        <w:rPr>
          <w:rFonts w:ascii="Times New Roman" w:hAnsi="Times New Roman"/>
          <w:lang w:eastAsia="tr-TR"/>
        </w:rPr>
        <w:t>n</w:t>
      </w:r>
      <w:r w:rsidR="008B5E15" w:rsidRPr="008B5E15">
        <w:rPr>
          <w:rFonts w:ascii="Times New Roman" w:hAnsi="Times New Roman"/>
          <w:lang w:eastAsia="tr-TR"/>
        </w:rPr>
        <w:t xml:space="preserve"> hızlı ve öngörülemeyen bir </w:t>
      </w:r>
      <w:r w:rsidR="008B5E15">
        <w:rPr>
          <w:rFonts w:ascii="Times New Roman" w:hAnsi="Times New Roman"/>
          <w:lang w:eastAsia="tr-TR"/>
        </w:rPr>
        <w:t xml:space="preserve">biçimde değiştiriliyor olmasını hukuk devleti ilkesinin ihlali olarak okumak mümkündür. Buna eklenen yürütmeye aktarılan belirsiz süre etkin olma yetkisi ve olağanüstü hâl yetkileri de bu saptamayı destekler niteliktedir. Yine örneğin, hemen her ülkede salgının </w:t>
      </w:r>
      <w:r w:rsidR="008B5E15">
        <w:rPr>
          <w:rFonts w:ascii="Times New Roman" w:hAnsi="Times New Roman"/>
          <w:lang w:eastAsia="tr-TR"/>
        </w:rPr>
        <w:lastRenderedPageBreak/>
        <w:t xml:space="preserve">doğası gereği kabul edilen </w:t>
      </w:r>
      <w:r w:rsidR="008B5E15" w:rsidRPr="008B5E15">
        <w:rPr>
          <w:rFonts w:ascii="Times New Roman" w:hAnsi="Times New Roman"/>
          <w:lang w:eastAsia="tr-TR"/>
        </w:rPr>
        <w:t xml:space="preserve">seyahat kısıtlamalarına ilişkin </w:t>
      </w:r>
      <w:r w:rsidR="008B5E15">
        <w:rPr>
          <w:rFonts w:ascii="Times New Roman" w:hAnsi="Times New Roman"/>
          <w:lang w:eastAsia="tr-TR"/>
        </w:rPr>
        <w:t xml:space="preserve">Macaristan </w:t>
      </w:r>
      <w:r w:rsidR="008B5E15" w:rsidRPr="008B5E15">
        <w:rPr>
          <w:rFonts w:ascii="Times New Roman" w:hAnsi="Times New Roman"/>
          <w:lang w:eastAsia="tr-TR"/>
        </w:rPr>
        <w:t>Hükümet</w:t>
      </w:r>
      <w:r w:rsidR="008B5E15">
        <w:rPr>
          <w:rFonts w:ascii="Times New Roman" w:hAnsi="Times New Roman"/>
          <w:lang w:eastAsia="tr-TR"/>
        </w:rPr>
        <w:t>inin çıkardığı k</w:t>
      </w:r>
      <w:r w:rsidR="008B5E15" w:rsidRPr="008B5E15">
        <w:rPr>
          <w:rFonts w:ascii="Times New Roman" w:hAnsi="Times New Roman"/>
          <w:lang w:eastAsia="tr-TR"/>
        </w:rPr>
        <w:t>ararnameler</w:t>
      </w:r>
      <w:r w:rsidR="00336E79">
        <w:rPr>
          <w:rFonts w:ascii="Times New Roman" w:hAnsi="Times New Roman"/>
          <w:lang w:eastAsia="tr-TR"/>
        </w:rPr>
        <w:t xml:space="preserve">in ise </w:t>
      </w:r>
      <w:r w:rsidR="008B5E15" w:rsidRPr="008B5E15">
        <w:rPr>
          <w:rFonts w:ascii="Times New Roman" w:hAnsi="Times New Roman"/>
          <w:lang w:eastAsia="tr-TR"/>
        </w:rPr>
        <w:t>genellikle</w:t>
      </w:r>
      <w:r w:rsidR="008B5E15">
        <w:rPr>
          <w:rFonts w:ascii="Times New Roman" w:hAnsi="Times New Roman"/>
          <w:lang w:eastAsia="tr-TR"/>
        </w:rPr>
        <w:t xml:space="preserve"> uygulayıcı </w:t>
      </w:r>
      <w:r w:rsidR="008B5E15" w:rsidRPr="008B5E15">
        <w:rPr>
          <w:rFonts w:ascii="Times New Roman" w:hAnsi="Times New Roman"/>
          <w:lang w:eastAsia="tr-TR"/>
        </w:rPr>
        <w:t>yetkililer tarafından farklı yorumlanm</w:t>
      </w:r>
      <w:r w:rsidR="008B5E15">
        <w:rPr>
          <w:rFonts w:ascii="Times New Roman" w:hAnsi="Times New Roman"/>
          <w:lang w:eastAsia="tr-TR"/>
        </w:rPr>
        <w:t xml:space="preserve">aya elverişli biçimde </w:t>
      </w:r>
      <w:r w:rsidR="008B5E15" w:rsidRPr="008B5E15">
        <w:rPr>
          <w:rFonts w:ascii="Times New Roman" w:hAnsi="Times New Roman"/>
          <w:lang w:eastAsia="tr-TR"/>
        </w:rPr>
        <w:t>bulanık</w:t>
      </w:r>
      <w:r w:rsidR="008B5E15">
        <w:rPr>
          <w:rFonts w:ascii="Times New Roman" w:hAnsi="Times New Roman"/>
          <w:lang w:eastAsia="tr-TR"/>
        </w:rPr>
        <w:t xml:space="preserve"> metinler</w:t>
      </w:r>
      <w:r w:rsidR="004C28F8">
        <w:rPr>
          <w:rFonts w:ascii="Times New Roman" w:hAnsi="Times New Roman"/>
          <w:lang w:eastAsia="tr-TR"/>
        </w:rPr>
        <w:t xml:space="preserve"> olduğu ve n</w:t>
      </w:r>
      <w:r w:rsidR="001705AB">
        <w:rPr>
          <w:rFonts w:ascii="Times New Roman" w:hAnsi="Times New Roman"/>
          <w:lang w:eastAsia="tr-TR"/>
        </w:rPr>
        <w:t xml:space="preserve">ormlar hiyerarşisine saygı duyulmadığı da </w:t>
      </w:r>
      <w:r w:rsidR="004C28F8">
        <w:rPr>
          <w:rFonts w:ascii="Times New Roman" w:hAnsi="Times New Roman"/>
          <w:lang w:eastAsia="tr-TR"/>
        </w:rPr>
        <w:t>eleştiriler arasında yer almaktadır</w:t>
      </w:r>
      <w:r w:rsidR="001705AB">
        <w:rPr>
          <w:rStyle w:val="FootnoteReference"/>
          <w:rFonts w:ascii="Times New Roman" w:hAnsi="Times New Roman"/>
          <w:lang w:eastAsia="tr-TR"/>
        </w:rPr>
        <w:footnoteReference w:id="45"/>
      </w:r>
      <w:r w:rsidR="001705AB">
        <w:rPr>
          <w:rFonts w:ascii="Times New Roman" w:hAnsi="Times New Roman"/>
          <w:lang w:eastAsia="tr-TR"/>
        </w:rPr>
        <w:t>.</w:t>
      </w:r>
      <w:r w:rsidR="004C28F8">
        <w:rPr>
          <w:rFonts w:ascii="Times New Roman" w:hAnsi="Times New Roman"/>
          <w:lang w:eastAsia="tr-TR"/>
        </w:rPr>
        <w:t xml:space="preserve"> Son olarak, salgın döneminde Ceza Kanunu’na eklenen ve </w:t>
      </w:r>
      <w:r w:rsidR="004C28F8" w:rsidRPr="004C28F8">
        <w:rPr>
          <w:rFonts w:ascii="Times New Roman" w:hAnsi="Times New Roman"/>
          <w:lang w:eastAsia="tr-TR"/>
        </w:rPr>
        <w:t>salgın sırasında bilerek yanlış bilgi yay</w:t>
      </w:r>
      <w:r w:rsidR="004C28F8">
        <w:rPr>
          <w:rFonts w:ascii="Times New Roman" w:hAnsi="Times New Roman"/>
          <w:lang w:eastAsia="tr-TR"/>
        </w:rPr>
        <w:t xml:space="preserve">mayı ve </w:t>
      </w:r>
      <w:r w:rsidR="00675717">
        <w:rPr>
          <w:rFonts w:ascii="Times New Roman" w:hAnsi="Times New Roman"/>
          <w:lang w:eastAsia="tr-TR"/>
        </w:rPr>
        <w:t>‘</w:t>
      </w:r>
      <w:r w:rsidR="004C28F8" w:rsidRPr="004C28F8">
        <w:rPr>
          <w:rFonts w:ascii="Times New Roman" w:hAnsi="Times New Roman"/>
          <w:lang w:eastAsia="tr-TR"/>
        </w:rPr>
        <w:t>korku</w:t>
      </w:r>
      <w:r w:rsidR="00675717">
        <w:rPr>
          <w:rFonts w:ascii="Times New Roman" w:hAnsi="Times New Roman"/>
          <w:lang w:eastAsia="tr-TR"/>
        </w:rPr>
        <w:t xml:space="preserve"> salmayı’ </w:t>
      </w:r>
      <w:r w:rsidR="004C28F8" w:rsidRPr="004C28F8">
        <w:rPr>
          <w:rFonts w:ascii="Times New Roman" w:hAnsi="Times New Roman"/>
          <w:lang w:eastAsia="tr-TR"/>
        </w:rPr>
        <w:t xml:space="preserve">suç sayan </w:t>
      </w:r>
      <w:r w:rsidR="004C28F8">
        <w:rPr>
          <w:rFonts w:ascii="Times New Roman" w:hAnsi="Times New Roman"/>
          <w:lang w:eastAsia="tr-TR"/>
        </w:rPr>
        <w:t>hük</w:t>
      </w:r>
      <w:r w:rsidR="00184B7D">
        <w:rPr>
          <w:rFonts w:ascii="Times New Roman" w:hAnsi="Times New Roman"/>
          <w:lang w:eastAsia="tr-TR"/>
        </w:rPr>
        <w:t>üm,</w:t>
      </w:r>
      <w:r w:rsidR="00985B6C">
        <w:rPr>
          <w:rFonts w:ascii="Times New Roman" w:hAnsi="Times New Roman"/>
          <w:lang w:eastAsia="tr-TR"/>
        </w:rPr>
        <w:t xml:space="preserve"> </w:t>
      </w:r>
      <w:r w:rsidR="00675717">
        <w:rPr>
          <w:rFonts w:ascii="Times New Roman" w:hAnsi="Times New Roman"/>
          <w:lang w:eastAsia="tr-TR"/>
        </w:rPr>
        <w:t xml:space="preserve">ifade özgürlüğüne </w:t>
      </w:r>
      <w:r w:rsidR="00985B6C">
        <w:rPr>
          <w:rFonts w:ascii="Times New Roman" w:hAnsi="Times New Roman"/>
          <w:lang w:eastAsia="tr-TR"/>
        </w:rPr>
        <w:t xml:space="preserve">ve haber alma özgürlüğüne </w:t>
      </w:r>
      <w:r w:rsidR="00675717">
        <w:rPr>
          <w:rFonts w:ascii="Times New Roman" w:hAnsi="Times New Roman"/>
          <w:lang w:eastAsia="tr-TR"/>
        </w:rPr>
        <w:t xml:space="preserve">orantısız </w:t>
      </w:r>
      <w:r w:rsidR="00985B6C">
        <w:rPr>
          <w:rFonts w:ascii="Times New Roman" w:hAnsi="Times New Roman"/>
          <w:lang w:eastAsia="tr-TR"/>
        </w:rPr>
        <w:t xml:space="preserve">biçimde </w:t>
      </w:r>
      <w:r w:rsidR="00675717">
        <w:rPr>
          <w:rFonts w:ascii="Times New Roman" w:hAnsi="Times New Roman"/>
          <w:lang w:eastAsia="tr-TR"/>
        </w:rPr>
        <w:t>sınır getir</w:t>
      </w:r>
      <w:r w:rsidR="00985B6C">
        <w:rPr>
          <w:rFonts w:ascii="Times New Roman" w:hAnsi="Times New Roman"/>
          <w:lang w:eastAsia="tr-TR"/>
        </w:rPr>
        <w:t>diğ</w:t>
      </w:r>
      <w:r w:rsidR="00184B7D">
        <w:rPr>
          <w:rFonts w:ascii="Times New Roman" w:hAnsi="Times New Roman"/>
          <w:lang w:eastAsia="tr-TR"/>
        </w:rPr>
        <w:t>i gerekçesiyle tartışılmaktadır</w:t>
      </w:r>
      <w:r w:rsidR="00675717">
        <w:rPr>
          <w:rStyle w:val="FootnoteReference"/>
          <w:rFonts w:ascii="Times New Roman" w:hAnsi="Times New Roman"/>
          <w:lang w:eastAsia="tr-TR"/>
        </w:rPr>
        <w:footnoteReference w:id="46"/>
      </w:r>
      <w:r w:rsidR="004C28F8">
        <w:rPr>
          <w:rFonts w:ascii="Times New Roman" w:hAnsi="Times New Roman"/>
          <w:lang w:eastAsia="tr-TR"/>
        </w:rPr>
        <w:t>. Macaristan Anayasa Mahkemesi ise bu düzenlemeyi gerekli ve orantılı bulmuş, dolayısıyla Anayasa’ya aykırı olmadığına karar vermiştir</w:t>
      </w:r>
      <w:r w:rsidR="004C28F8">
        <w:rPr>
          <w:rStyle w:val="FootnoteReference"/>
          <w:rFonts w:ascii="Times New Roman" w:hAnsi="Times New Roman"/>
          <w:lang w:eastAsia="tr-TR"/>
        </w:rPr>
        <w:footnoteReference w:id="47"/>
      </w:r>
      <w:r w:rsidR="004C28F8">
        <w:rPr>
          <w:rFonts w:ascii="Times New Roman" w:hAnsi="Times New Roman"/>
          <w:lang w:eastAsia="tr-TR"/>
        </w:rPr>
        <w:t>. Özetle, t</w:t>
      </w:r>
      <w:r w:rsidR="001705AB">
        <w:rPr>
          <w:rFonts w:ascii="Times New Roman" w:hAnsi="Times New Roman"/>
          <w:lang w:eastAsia="tr-TR"/>
        </w:rPr>
        <w:t xml:space="preserve">ıpkı parlamento gibi yargı denetiminin de asgari düzeyde olduğu düşünüldüğünde, Macaristan’ın uyguladığı salgınla mücadele politikalarının hukukun üstünlüğü, hukuki öngörülebilirlik ve hukuki güvenlik gibi hukuk devletinin </w:t>
      </w:r>
      <w:r w:rsidR="004C28F8">
        <w:rPr>
          <w:rFonts w:ascii="Times New Roman" w:hAnsi="Times New Roman"/>
          <w:lang w:eastAsia="tr-TR"/>
        </w:rPr>
        <w:t>pek çok bütünleşik</w:t>
      </w:r>
      <w:r w:rsidR="001705AB">
        <w:rPr>
          <w:rFonts w:ascii="Times New Roman" w:hAnsi="Times New Roman"/>
          <w:lang w:eastAsia="tr-TR"/>
        </w:rPr>
        <w:t xml:space="preserve"> ilkesine aykırılık teşkil ettiğini söylemek yanlış olmayacaktır.</w:t>
      </w:r>
      <w:r w:rsidR="004C28F8">
        <w:rPr>
          <w:rFonts w:ascii="Times New Roman" w:hAnsi="Times New Roman"/>
          <w:lang w:eastAsia="tr-TR"/>
        </w:rPr>
        <w:t xml:space="preserve"> </w:t>
      </w:r>
    </w:p>
    <w:p w14:paraId="099DD0C3" w14:textId="77777777" w:rsidR="00503EB4" w:rsidRDefault="00675717" w:rsidP="00503EB4">
      <w:pPr>
        <w:jc w:val="both"/>
        <w:rPr>
          <w:rFonts w:ascii="Times New Roman" w:hAnsi="Times New Roman"/>
          <w:lang w:eastAsia="tr-TR"/>
        </w:rPr>
      </w:pPr>
      <w:r>
        <w:rPr>
          <w:rFonts w:ascii="Times New Roman" w:hAnsi="Times New Roman"/>
          <w:lang w:eastAsia="tr-TR"/>
        </w:rPr>
        <w:tab/>
      </w:r>
      <w:r w:rsidR="00D12224" w:rsidRPr="00D12224">
        <w:rPr>
          <w:rFonts w:ascii="Times New Roman" w:hAnsi="Times New Roman"/>
          <w:lang w:eastAsia="tr-TR"/>
        </w:rPr>
        <w:t>Polonya</w:t>
      </w:r>
      <w:r>
        <w:rPr>
          <w:rFonts w:ascii="Times New Roman" w:hAnsi="Times New Roman"/>
          <w:lang w:eastAsia="tr-TR"/>
        </w:rPr>
        <w:t xml:space="preserve">, aldığı salgın önlemleriyle tartışma yaratan bir diğer Avrupa Birliği üye ülkesidir. </w:t>
      </w:r>
      <w:r w:rsidR="00F12C50">
        <w:rPr>
          <w:rFonts w:ascii="Times New Roman" w:hAnsi="Times New Roman"/>
          <w:lang w:eastAsia="tr-TR"/>
        </w:rPr>
        <w:t xml:space="preserve">İlk olarak, </w:t>
      </w:r>
      <w:r>
        <w:rPr>
          <w:rFonts w:ascii="Times New Roman" w:hAnsi="Times New Roman"/>
          <w:lang w:eastAsia="tr-TR"/>
        </w:rPr>
        <w:t xml:space="preserve">Polonya </w:t>
      </w:r>
      <w:r w:rsidR="00D12224" w:rsidRPr="00D12224">
        <w:rPr>
          <w:rFonts w:ascii="Times New Roman" w:hAnsi="Times New Roman"/>
          <w:lang w:eastAsia="tr-TR"/>
        </w:rPr>
        <w:t>Anayasası</w:t>
      </w:r>
      <w:r w:rsidR="00D12224">
        <w:rPr>
          <w:rFonts w:ascii="Times New Roman" w:hAnsi="Times New Roman"/>
          <w:lang w:eastAsia="tr-TR"/>
        </w:rPr>
        <w:t xml:space="preserve"> </w:t>
      </w:r>
      <w:r w:rsidR="00D12224" w:rsidRPr="00D12224">
        <w:rPr>
          <w:rFonts w:ascii="Times New Roman" w:hAnsi="Times New Roman"/>
          <w:lang w:eastAsia="tr-TR"/>
        </w:rPr>
        <w:t xml:space="preserve">anayasal </w:t>
      </w:r>
      <w:r w:rsidR="00D12224">
        <w:rPr>
          <w:rFonts w:ascii="Times New Roman" w:hAnsi="Times New Roman"/>
          <w:lang w:eastAsia="tr-TR"/>
        </w:rPr>
        <w:t xml:space="preserve">hak ve özgürlüklere yönelik </w:t>
      </w:r>
      <w:r w:rsidR="00D12224" w:rsidRPr="00D12224">
        <w:rPr>
          <w:rFonts w:ascii="Times New Roman" w:hAnsi="Times New Roman"/>
          <w:lang w:eastAsia="tr-TR"/>
        </w:rPr>
        <w:t>herhangi bir sınırlamanın ancak kanunla konulabil</w:t>
      </w:r>
      <w:r w:rsidR="00D12224">
        <w:rPr>
          <w:rFonts w:ascii="Times New Roman" w:hAnsi="Times New Roman"/>
          <w:lang w:eastAsia="tr-TR"/>
        </w:rPr>
        <w:t>eceğini belirtmektedir</w:t>
      </w:r>
      <w:r w:rsidR="00D12224">
        <w:rPr>
          <w:rStyle w:val="FootnoteReference"/>
          <w:rFonts w:ascii="Times New Roman" w:hAnsi="Times New Roman"/>
          <w:lang w:eastAsia="tr-TR"/>
        </w:rPr>
        <w:footnoteReference w:id="48"/>
      </w:r>
      <w:r w:rsidR="00D12224">
        <w:rPr>
          <w:rFonts w:ascii="Times New Roman" w:hAnsi="Times New Roman"/>
          <w:lang w:eastAsia="tr-TR"/>
        </w:rPr>
        <w:t>.</w:t>
      </w:r>
      <w:r>
        <w:rPr>
          <w:rFonts w:ascii="Times New Roman" w:hAnsi="Times New Roman"/>
          <w:lang w:eastAsia="tr-TR"/>
        </w:rPr>
        <w:t xml:space="preserve"> Buna karşılık, önlemlerin</w:t>
      </w:r>
      <w:r w:rsidRPr="00675717">
        <w:rPr>
          <w:rFonts w:ascii="Times New Roman" w:hAnsi="Times New Roman"/>
          <w:lang w:eastAsia="tr-TR"/>
        </w:rPr>
        <w:t xml:space="preserve"> çoğunlukla kararnameler</w:t>
      </w:r>
      <w:r>
        <w:rPr>
          <w:rFonts w:ascii="Times New Roman" w:hAnsi="Times New Roman"/>
          <w:lang w:eastAsia="tr-TR"/>
        </w:rPr>
        <w:t xml:space="preserve">le </w:t>
      </w:r>
      <w:r w:rsidRPr="00675717">
        <w:rPr>
          <w:rFonts w:ascii="Times New Roman" w:hAnsi="Times New Roman"/>
          <w:lang w:eastAsia="tr-TR"/>
        </w:rPr>
        <w:t>alınd</w:t>
      </w:r>
      <w:r>
        <w:rPr>
          <w:rFonts w:ascii="Times New Roman" w:hAnsi="Times New Roman"/>
          <w:lang w:eastAsia="tr-TR"/>
        </w:rPr>
        <w:t xml:space="preserve">ığı görülmektedir. Yine, olağan döneme ilişkin </w:t>
      </w:r>
      <w:r w:rsidRPr="00675717">
        <w:rPr>
          <w:rFonts w:ascii="Times New Roman" w:hAnsi="Times New Roman"/>
          <w:lang w:eastAsia="tr-TR"/>
        </w:rPr>
        <w:t>mevzuatta düzenlenen ve bu mevzuata dayalı yürütme kararnamelerine dayanılarak uygulanan salgın tedbirleri</w:t>
      </w:r>
      <w:r>
        <w:rPr>
          <w:rFonts w:ascii="Times New Roman" w:hAnsi="Times New Roman"/>
          <w:lang w:eastAsia="tr-TR"/>
        </w:rPr>
        <w:t xml:space="preserve"> için </w:t>
      </w:r>
      <w:r w:rsidRPr="00675717">
        <w:rPr>
          <w:rFonts w:ascii="Times New Roman" w:hAnsi="Times New Roman"/>
          <w:lang w:eastAsia="tr-TR"/>
        </w:rPr>
        <w:t xml:space="preserve">parlamento denetimine </w:t>
      </w:r>
      <w:r>
        <w:rPr>
          <w:rFonts w:ascii="Times New Roman" w:hAnsi="Times New Roman"/>
          <w:lang w:eastAsia="tr-TR"/>
        </w:rPr>
        <w:t xml:space="preserve">ilişkin ise </w:t>
      </w:r>
      <w:r w:rsidRPr="00675717">
        <w:rPr>
          <w:rFonts w:ascii="Times New Roman" w:hAnsi="Times New Roman"/>
          <w:lang w:eastAsia="tr-TR"/>
        </w:rPr>
        <w:t>özel bir kural öngörülme</w:t>
      </w:r>
      <w:r>
        <w:rPr>
          <w:rFonts w:ascii="Times New Roman" w:hAnsi="Times New Roman"/>
          <w:lang w:eastAsia="tr-TR"/>
        </w:rPr>
        <w:t>miştir</w:t>
      </w:r>
      <w:r w:rsidRPr="00675717">
        <w:rPr>
          <w:rFonts w:ascii="Times New Roman" w:hAnsi="Times New Roman"/>
          <w:lang w:eastAsia="tr-TR"/>
        </w:rPr>
        <w:t>.</w:t>
      </w:r>
      <w:r>
        <w:rPr>
          <w:rFonts w:ascii="Times New Roman" w:hAnsi="Times New Roman"/>
          <w:lang w:eastAsia="tr-TR"/>
        </w:rPr>
        <w:t xml:space="preserve"> </w:t>
      </w:r>
      <w:r w:rsidR="00F12C50">
        <w:rPr>
          <w:rFonts w:ascii="Times New Roman" w:hAnsi="Times New Roman"/>
          <w:lang w:eastAsia="tr-TR"/>
        </w:rPr>
        <w:t>İkinci olarak, s</w:t>
      </w:r>
      <w:r>
        <w:rPr>
          <w:rFonts w:ascii="Times New Roman" w:hAnsi="Times New Roman"/>
          <w:lang w:eastAsia="tr-TR"/>
        </w:rPr>
        <w:t xml:space="preserve">ınırlanan hak ve </w:t>
      </w:r>
      <w:r w:rsidRPr="00675717">
        <w:rPr>
          <w:rFonts w:ascii="Times New Roman" w:hAnsi="Times New Roman"/>
          <w:lang w:eastAsia="tr-TR"/>
        </w:rPr>
        <w:t xml:space="preserve">özgürlükler diğer </w:t>
      </w:r>
      <w:r>
        <w:rPr>
          <w:rFonts w:ascii="Times New Roman" w:hAnsi="Times New Roman"/>
          <w:lang w:eastAsia="tr-TR"/>
        </w:rPr>
        <w:t xml:space="preserve">pek çok </w:t>
      </w:r>
      <w:r w:rsidRPr="00675717">
        <w:rPr>
          <w:rFonts w:ascii="Times New Roman" w:hAnsi="Times New Roman"/>
          <w:lang w:eastAsia="tr-TR"/>
        </w:rPr>
        <w:t>ülke</w:t>
      </w:r>
      <w:r>
        <w:rPr>
          <w:rFonts w:ascii="Times New Roman" w:hAnsi="Times New Roman"/>
          <w:lang w:eastAsia="tr-TR"/>
        </w:rPr>
        <w:t xml:space="preserve"> ile </w:t>
      </w:r>
      <w:r w:rsidRPr="00675717">
        <w:rPr>
          <w:rFonts w:ascii="Times New Roman" w:hAnsi="Times New Roman"/>
          <w:lang w:eastAsia="tr-TR"/>
        </w:rPr>
        <w:t>hemen hemen aynı</w:t>
      </w:r>
      <w:r w:rsidR="00F12C50">
        <w:rPr>
          <w:rFonts w:ascii="Times New Roman" w:hAnsi="Times New Roman"/>
          <w:lang w:eastAsia="tr-TR"/>
        </w:rPr>
        <w:t xml:space="preserve"> olsa da alınan bu önlemlerin </w:t>
      </w:r>
      <w:r w:rsidR="00F12C50" w:rsidRPr="00F12C50">
        <w:rPr>
          <w:rFonts w:ascii="Times New Roman" w:hAnsi="Times New Roman"/>
          <w:lang w:eastAsia="tr-TR"/>
        </w:rPr>
        <w:t>hakkın özüne dokun</w:t>
      </w:r>
      <w:r w:rsidR="00F12C50">
        <w:rPr>
          <w:rFonts w:ascii="Times New Roman" w:hAnsi="Times New Roman"/>
          <w:lang w:eastAsia="tr-TR"/>
        </w:rPr>
        <w:t>acak nitelikte olması eleştirilerin bir diğer nedenidir. Tıpkı 1982 Anayasası gibi Polonya anayasası da hakkın özüne dokunmayı, yasayla olsa dahi, yasaklamaktadır.</w:t>
      </w:r>
      <w:r w:rsidR="00F12C50" w:rsidRPr="00F12C50">
        <w:rPr>
          <w:rFonts w:ascii="Times New Roman" w:hAnsi="Times New Roman"/>
          <w:lang w:eastAsia="tr-TR"/>
        </w:rPr>
        <w:t xml:space="preserve"> </w:t>
      </w:r>
      <w:r w:rsidR="00F12C50">
        <w:rPr>
          <w:rFonts w:ascii="Times New Roman" w:hAnsi="Times New Roman"/>
          <w:lang w:eastAsia="tr-TR"/>
        </w:rPr>
        <w:t xml:space="preserve">Ancak uygulamada görülen sınırlamalar bu tartışmayı sıcak tutmaktadır. Öyle ki, bu tip sınırlamaların yalnızca uygun </w:t>
      </w:r>
      <w:r w:rsidR="00F12C50" w:rsidRPr="00F12C50">
        <w:rPr>
          <w:rFonts w:ascii="Times New Roman" w:hAnsi="Times New Roman"/>
          <w:lang w:eastAsia="tr-TR"/>
        </w:rPr>
        <w:t>bir olağanüstü h</w:t>
      </w:r>
      <w:r w:rsidR="00F12C50">
        <w:rPr>
          <w:rFonts w:ascii="Times New Roman" w:hAnsi="Times New Roman"/>
          <w:lang w:eastAsia="tr-TR"/>
        </w:rPr>
        <w:t>â</w:t>
      </w:r>
      <w:r w:rsidR="00F12C50" w:rsidRPr="00F12C50">
        <w:rPr>
          <w:rFonts w:ascii="Times New Roman" w:hAnsi="Times New Roman"/>
          <w:lang w:eastAsia="tr-TR"/>
        </w:rPr>
        <w:t xml:space="preserve">l ilanı </w:t>
      </w:r>
      <w:r w:rsidR="00F12C50">
        <w:rPr>
          <w:rFonts w:ascii="Times New Roman" w:hAnsi="Times New Roman"/>
          <w:lang w:eastAsia="tr-TR"/>
        </w:rPr>
        <w:t xml:space="preserve">ile </w:t>
      </w:r>
      <w:r w:rsidR="00F12C50" w:rsidRPr="00F12C50">
        <w:rPr>
          <w:rFonts w:ascii="Times New Roman" w:hAnsi="Times New Roman"/>
          <w:lang w:eastAsia="tr-TR"/>
        </w:rPr>
        <w:t>hukuken meşru kıl</w:t>
      </w:r>
      <w:r w:rsidR="00F12C50">
        <w:rPr>
          <w:rFonts w:ascii="Times New Roman" w:hAnsi="Times New Roman"/>
          <w:lang w:eastAsia="tr-TR"/>
        </w:rPr>
        <w:t>ınabileceğini, fakat bu yöntemin de tepki çekmesi gerekçesiyle yapılmadığı ifade edilmektedir</w:t>
      </w:r>
      <w:r w:rsidR="00F12C50">
        <w:rPr>
          <w:rStyle w:val="FootnoteReference"/>
          <w:rFonts w:ascii="Times New Roman" w:hAnsi="Times New Roman"/>
          <w:lang w:eastAsia="tr-TR"/>
        </w:rPr>
        <w:footnoteReference w:id="49"/>
      </w:r>
      <w:r w:rsidR="00F12C50">
        <w:rPr>
          <w:rFonts w:ascii="Times New Roman" w:hAnsi="Times New Roman"/>
          <w:lang w:eastAsia="tr-TR"/>
        </w:rPr>
        <w:t xml:space="preserve">. </w:t>
      </w:r>
      <w:r w:rsidR="00985B6C">
        <w:rPr>
          <w:rFonts w:ascii="Times New Roman" w:hAnsi="Times New Roman"/>
          <w:lang w:eastAsia="tr-TR"/>
        </w:rPr>
        <w:t>Polonya’da da diğer bazı ülkelerde olduğu gibi v</w:t>
      </w:r>
      <w:r w:rsidR="00985B6C" w:rsidRPr="00985B6C">
        <w:rPr>
          <w:rFonts w:ascii="Times New Roman" w:hAnsi="Times New Roman"/>
          <w:lang w:eastAsia="tr-TR"/>
        </w:rPr>
        <w:t>atandaşların mahkemelere erişimi</w:t>
      </w:r>
      <w:r w:rsidR="00985B6C">
        <w:rPr>
          <w:rFonts w:ascii="Times New Roman" w:hAnsi="Times New Roman"/>
          <w:lang w:eastAsia="tr-TR"/>
        </w:rPr>
        <w:t xml:space="preserve"> </w:t>
      </w:r>
      <w:r w:rsidR="00985B6C" w:rsidRPr="00985B6C">
        <w:rPr>
          <w:rFonts w:ascii="Times New Roman" w:hAnsi="Times New Roman"/>
          <w:lang w:eastAsia="tr-TR"/>
        </w:rPr>
        <w:t>ciddi şekilde kısıtlan</w:t>
      </w:r>
      <w:r w:rsidR="00985B6C">
        <w:rPr>
          <w:rFonts w:ascii="Times New Roman" w:hAnsi="Times New Roman"/>
          <w:lang w:eastAsia="tr-TR"/>
        </w:rPr>
        <w:t xml:space="preserve">mış, </w:t>
      </w:r>
      <w:r w:rsidR="00985B6C" w:rsidRPr="00985B6C">
        <w:rPr>
          <w:rFonts w:ascii="Times New Roman" w:hAnsi="Times New Roman"/>
          <w:lang w:eastAsia="tr-TR"/>
        </w:rPr>
        <w:t>mahkemelerin faaliyeti</w:t>
      </w:r>
      <w:r w:rsidR="00985B6C">
        <w:rPr>
          <w:rFonts w:ascii="Times New Roman" w:hAnsi="Times New Roman"/>
          <w:lang w:eastAsia="tr-TR"/>
        </w:rPr>
        <w:t xml:space="preserve"> yalnızca </w:t>
      </w:r>
      <w:r w:rsidR="00985B6C" w:rsidRPr="00985B6C">
        <w:rPr>
          <w:rFonts w:ascii="Times New Roman" w:hAnsi="Times New Roman"/>
          <w:lang w:eastAsia="tr-TR"/>
        </w:rPr>
        <w:t xml:space="preserve">tutuklama </w:t>
      </w:r>
      <w:r w:rsidR="00985B6C">
        <w:rPr>
          <w:rFonts w:ascii="Times New Roman" w:hAnsi="Times New Roman"/>
          <w:lang w:eastAsia="tr-TR"/>
        </w:rPr>
        <w:t xml:space="preserve">gibi </w:t>
      </w:r>
      <w:r w:rsidR="00985B6C" w:rsidRPr="00985B6C">
        <w:rPr>
          <w:rFonts w:ascii="Times New Roman" w:hAnsi="Times New Roman"/>
          <w:lang w:eastAsia="tr-TR"/>
        </w:rPr>
        <w:t xml:space="preserve">kolluk kuvvetlerinin </w:t>
      </w:r>
      <w:r w:rsidR="00985B6C">
        <w:rPr>
          <w:rFonts w:ascii="Times New Roman" w:hAnsi="Times New Roman"/>
          <w:lang w:eastAsia="tr-TR"/>
        </w:rPr>
        <w:t xml:space="preserve">acil nitelikli </w:t>
      </w:r>
      <w:r w:rsidR="00985B6C" w:rsidRPr="00985B6C">
        <w:rPr>
          <w:rFonts w:ascii="Times New Roman" w:hAnsi="Times New Roman"/>
          <w:lang w:eastAsia="tr-TR"/>
        </w:rPr>
        <w:t>taleplerinin incelenmesi gibi davalarla sınırlan</w:t>
      </w:r>
      <w:r w:rsidR="00985B6C">
        <w:rPr>
          <w:rFonts w:ascii="Times New Roman" w:hAnsi="Times New Roman"/>
          <w:lang w:eastAsia="tr-TR"/>
        </w:rPr>
        <w:t>mıştır</w:t>
      </w:r>
      <w:r w:rsidR="00985B6C" w:rsidRPr="00985B6C">
        <w:rPr>
          <w:rFonts w:ascii="Times New Roman" w:hAnsi="Times New Roman"/>
          <w:lang w:eastAsia="tr-TR"/>
        </w:rPr>
        <w:t xml:space="preserve">. Çoğu durumda, mahkeme ve duruşma süreleri </w:t>
      </w:r>
      <w:r w:rsidR="00985B6C">
        <w:rPr>
          <w:rFonts w:ascii="Times New Roman" w:hAnsi="Times New Roman"/>
          <w:lang w:eastAsia="tr-TR"/>
        </w:rPr>
        <w:t xml:space="preserve">de </w:t>
      </w:r>
      <w:r w:rsidR="00985B6C" w:rsidRPr="00985B6C">
        <w:rPr>
          <w:rFonts w:ascii="Times New Roman" w:hAnsi="Times New Roman"/>
          <w:lang w:eastAsia="tr-TR"/>
        </w:rPr>
        <w:t>askıya alınmıştır. Bu doğal olarak mahkeme işlemlerinin uz</w:t>
      </w:r>
      <w:r w:rsidR="00985B6C">
        <w:rPr>
          <w:rFonts w:ascii="Times New Roman" w:hAnsi="Times New Roman"/>
          <w:lang w:eastAsia="tr-TR"/>
        </w:rPr>
        <w:t>amasına neden olmuş ve dolayısıyla hak arama özgürlüğü ile adil yargılanma hakkı üzerinde de büyük etki doğurmuştur</w:t>
      </w:r>
      <w:r w:rsidR="00985B6C">
        <w:rPr>
          <w:rStyle w:val="FootnoteReference"/>
          <w:rFonts w:ascii="Times New Roman" w:hAnsi="Times New Roman"/>
          <w:lang w:eastAsia="tr-TR"/>
        </w:rPr>
        <w:footnoteReference w:id="50"/>
      </w:r>
      <w:r w:rsidR="00985B6C" w:rsidRPr="00985B6C">
        <w:rPr>
          <w:rFonts w:ascii="Times New Roman" w:hAnsi="Times New Roman"/>
          <w:lang w:eastAsia="tr-TR"/>
        </w:rPr>
        <w:t>.</w:t>
      </w:r>
      <w:r w:rsidR="00184B7D">
        <w:rPr>
          <w:rFonts w:ascii="Times New Roman" w:hAnsi="Times New Roman"/>
          <w:lang w:eastAsia="tr-TR"/>
        </w:rPr>
        <w:t xml:space="preserve"> Polonya’da bunların yanında h</w:t>
      </w:r>
      <w:r w:rsidR="00184B7D" w:rsidRPr="00184B7D">
        <w:rPr>
          <w:rFonts w:ascii="Times New Roman" w:hAnsi="Times New Roman"/>
          <w:lang w:eastAsia="tr-TR"/>
        </w:rPr>
        <w:t xml:space="preserve">ukukun </w:t>
      </w:r>
      <w:proofErr w:type="spellStart"/>
      <w:r w:rsidR="00184B7D" w:rsidRPr="00184B7D">
        <w:rPr>
          <w:rFonts w:ascii="Times New Roman" w:hAnsi="Times New Roman"/>
          <w:lang w:eastAsia="tr-TR"/>
        </w:rPr>
        <w:t>araçsallaştırıl</w:t>
      </w:r>
      <w:r w:rsidR="00184B7D">
        <w:rPr>
          <w:rFonts w:ascii="Times New Roman" w:hAnsi="Times New Roman"/>
          <w:lang w:eastAsia="tr-TR"/>
        </w:rPr>
        <w:t>masına</w:t>
      </w:r>
      <w:proofErr w:type="spellEnd"/>
      <w:r w:rsidR="00184B7D">
        <w:rPr>
          <w:rFonts w:ascii="Times New Roman" w:hAnsi="Times New Roman"/>
          <w:lang w:eastAsia="tr-TR"/>
        </w:rPr>
        <w:t xml:space="preserve"> ilişkin doğrudan örneklerle karşılaşmak da mümkündür. </w:t>
      </w:r>
      <w:r w:rsidR="001A5CE2" w:rsidRPr="00184B7D">
        <w:rPr>
          <w:rFonts w:ascii="Times New Roman" w:hAnsi="Times New Roman"/>
          <w:lang w:eastAsia="tr-TR"/>
        </w:rPr>
        <w:t xml:space="preserve">Avrupa'da en </w:t>
      </w:r>
      <w:r w:rsidR="001A5CE2">
        <w:rPr>
          <w:rFonts w:ascii="Times New Roman" w:hAnsi="Times New Roman"/>
          <w:lang w:eastAsia="tr-TR"/>
        </w:rPr>
        <w:t xml:space="preserve">dar ve sınırlayıcı </w:t>
      </w:r>
      <w:r w:rsidR="001A5CE2" w:rsidRPr="00184B7D">
        <w:rPr>
          <w:rFonts w:ascii="Times New Roman" w:hAnsi="Times New Roman"/>
          <w:lang w:eastAsia="tr-TR"/>
        </w:rPr>
        <w:t xml:space="preserve">kürtaj düzenlemesinin bulunduğu Polonya'da </w:t>
      </w:r>
      <w:r w:rsidR="001A5CE2">
        <w:rPr>
          <w:rFonts w:ascii="Times New Roman" w:hAnsi="Times New Roman"/>
          <w:lang w:eastAsia="tr-TR"/>
        </w:rPr>
        <w:t>k</w:t>
      </w:r>
      <w:r w:rsidR="00184B7D" w:rsidRPr="00184B7D">
        <w:rPr>
          <w:rFonts w:ascii="Times New Roman" w:hAnsi="Times New Roman"/>
          <w:lang w:eastAsia="tr-TR"/>
        </w:rPr>
        <w:t>ürtaj</w:t>
      </w:r>
      <w:r w:rsidR="00184B7D">
        <w:rPr>
          <w:rFonts w:ascii="Times New Roman" w:hAnsi="Times New Roman"/>
          <w:lang w:eastAsia="tr-TR"/>
        </w:rPr>
        <w:t xml:space="preserve">a </w:t>
      </w:r>
      <w:r w:rsidR="00184B7D" w:rsidRPr="00184B7D">
        <w:rPr>
          <w:rFonts w:ascii="Times New Roman" w:hAnsi="Times New Roman"/>
          <w:lang w:eastAsia="tr-TR"/>
        </w:rPr>
        <w:t>yeni kısıtlamalar getiren ve okullarda cinsel eğitimi yasaklayan yasa</w:t>
      </w:r>
      <w:r w:rsidR="000961F5">
        <w:rPr>
          <w:rFonts w:ascii="Times New Roman" w:hAnsi="Times New Roman"/>
          <w:lang w:eastAsia="tr-TR"/>
        </w:rPr>
        <w:t xml:space="preserve"> tasarısının</w:t>
      </w:r>
      <w:r w:rsidR="00184B7D">
        <w:rPr>
          <w:rFonts w:ascii="Times New Roman" w:hAnsi="Times New Roman"/>
          <w:lang w:eastAsia="tr-TR"/>
        </w:rPr>
        <w:t xml:space="preserve"> </w:t>
      </w:r>
      <w:r w:rsidR="000961F5">
        <w:rPr>
          <w:rFonts w:ascii="Times New Roman" w:hAnsi="Times New Roman"/>
          <w:lang w:eastAsia="tr-TR"/>
        </w:rPr>
        <w:t xml:space="preserve">salgın sürecinde parlamentonun </w:t>
      </w:r>
      <w:r w:rsidR="00184B7D" w:rsidRPr="00184B7D">
        <w:rPr>
          <w:rFonts w:ascii="Times New Roman" w:hAnsi="Times New Roman"/>
          <w:lang w:eastAsia="tr-TR"/>
        </w:rPr>
        <w:t>gündemi</w:t>
      </w:r>
      <w:r w:rsidR="000961F5">
        <w:rPr>
          <w:rFonts w:ascii="Times New Roman" w:hAnsi="Times New Roman"/>
          <w:lang w:eastAsia="tr-TR"/>
        </w:rPr>
        <w:t>ne getirilmesi</w:t>
      </w:r>
      <w:r w:rsidR="00184B7D">
        <w:rPr>
          <w:rFonts w:ascii="Times New Roman" w:hAnsi="Times New Roman"/>
          <w:lang w:eastAsia="tr-TR"/>
        </w:rPr>
        <w:t xml:space="preserve"> bunlar arasındadır</w:t>
      </w:r>
      <w:r w:rsidR="000961F5">
        <w:rPr>
          <w:rStyle w:val="FootnoteReference"/>
          <w:rFonts w:ascii="Times New Roman" w:hAnsi="Times New Roman"/>
          <w:lang w:eastAsia="tr-TR"/>
        </w:rPr>
        <w:footnoteReference w:id="51"/>
      </w:r>
      <w:r w:rsidR="00184B7D" w:rsidRPr="00184B7D">
        <w:rPr>
          <w:rFonts w:ascii="Times New Roman" w:hAnsi="Times New Roman"/>
          <w:lang w:eastAsia="tr-TR"/>
        </w:rPr>
        <w:t xml:space="preserve">. </w:t>
      </w:r>
      <w:r w:rsidR="001A5CE2">
        <w:rPr>
          <w:rFonts w:ascii="Times New Roman" w:hAnsi="Times New Roman"/>
          <w:lang w:eastAsia="tr-TR"/>
        </w:rPr>
        <w:lastRenderedPageBreak/>
        <w:t xml:space="preserve">Yine yakın tarihte kabul edilen bir diğer yasayla, </w:t>
      </w:r>
      <w:r w:rsidR="001A5CE2" w:rsidRPr="001A5CE2">
        <w:rPr>
          <w:rFonts w:ascii="Times New Roman" w:hAnsi="Times New Roman"/>
          <w:lang w:eastAsia="tr-TR"/>
        </w:rPr>
        <w:t xml:space="preserve">eşcinselliğin </w:t>
      </w:r>
      <w:r w:rsidR="001A5CE2">
        <w:rPr>
          <w:rFonts w:ascii="Times New Roman" w:hAnsi="Times New Roman"/>
          <w:lang w:eastAsia="tr-TR"/>
        </w:rPr>
        <w:t>‘</w:t>
      </w:r>
      <w:r w:rsidR="001A5CE2" w:rsidRPr="001A5CE2">
        <w:rPr>
          <w:rFonts w:ascii="Times New Roman" w:hAnsi="Times New Roman"/>
          <w:lang w:eastAsia="tr-TR"/>
        </w:rPr>
        <w:t>teşvik edilmesi</w:t>
      </w:r>
      <w:r w:rsidR="001A5CE2">
        <w:rPr>
          <w:rFonts w:ascii="Times New Roman" w:hAnsi="Times New Roman"/>
          <w:lang w:eastAsia="tr-TR"/>
        </w:rPr>
        <w:t>’</w:t>
      </w:r>
      <w:r w:rsidR="001A5CE2" w:rsidRPr="001A5CE2">
        <w:rPr>
          <w:rFonts w:ascii="Times New Roman" w:hAnsi="Times New Roman"/>
          <w:lang w:eastAsia="tr-TR"/>
        </w:rPr>
        <w:t xml:space="preserve"> </w:t>
      </w:r>
      <w:r w:rsidR="001A5CE2">
        <w:rPr>
          <w:rFonts w:ascii="Times New Roman" w:hAnsi="Times New Roman"/>
          <w:lang w:eastAsia="tr-TR"/>
        </w:rPr>
        <w:t>ve e</w:t>
      </w:r>
      <w:r w:rsidR="001A5CE2" w:rsidRPr="001A5CE2">
        <w:rPr>
          <w:rFonts w:ascii="Times New Roman" w:hAnsi="Times New Roman"/>
          <w:lang w:eastAsia="tr-TR"/>
        </w:rPr>
        <w:t>şcinselliğe ve cinsiyet değişikliğine teşvik eden içerikler yasakla</w:t>
      </w:r>
      <w:r w:rsidR="001A5CE2">
        <w:rPr>
          <w:rFonts w:ascii="Times New Roman" w:hAnsi="Times New Roman"/>
          <w:lang w:eastAsia="tr-TR"/>
        </w:rPr>
        <w:t>nmıştır</w:t>
      </w:r>
      <w:r w:rsidR="001A5CE2">
        <w:rPr>
          <w:rStyle w:val="FootnoteReference"/>
          <w:rFonts w:ascii="Times New Roman" w:hAnsi="Times New Roman"/>
          <w:lang w:eastAsia="tr-TR"/>
        </w:rPr>
        <w:footnoteReference w:id="52"/>
      </w:r>
      <w:r w:rsidR="001A5CE2">
        <w:rPr>
          <w:rFonts w:ascii="Times New Roman" w:hAnsi="Times New Roman"/>
          <w:lang w:eastAsia="tr-TR"/>
        </w:rPr>
        <w:t xml:space="preserve">. </w:t>
      </w:r>
      <w:r w:rsidR="00184B7D" w:rsidRPr="00184B7D">
        <w:rPr>
          <w:rFonts w:ascii="Times New Roman" w:hAnsi="Times New Roman"/>
          <w:lang w:eastAsia="tr-TR"/>
        </w:rPr>
        <w:t>Salgın nedeniyle protesto gösterileri</w:t>
      </w:r>
      <w:r w:rsidR="00184B7D">
        <w:rPr>
          <w:rFonts w:ascii="Times New Roman" w:hAnsi="Times New Roman"/>
          <w:lang w:eastAsia="tr-TR"/>
        </w:rPr>
        <w:t xml:space="preserve">nin etkili biçimde yapılamıyor olması bu sürece giden yolu hızlandırmıştır. </w:t>
      </w:r>
      <w:r w:rsidR="009A002C">
        <w:rPr>
          <w:rFonts w:ascii="Times New Roman" w:hAnsi="Times New Roman"/>
          <w:lang w:eastAsia="tr-TR"/>
        </w:rPr>
        <w:t>Hemen belirtmek gerekir ki, AİHS’nin 14. maddesinde düzenlenen ayrımcılık yasağına açıkça aykırı olan b</w:t>
      </w:r>
      <w:r w:rsidR="00184B7D">
        <w:rPr>
          <w:rFonts w:ascii="Times New Roman" w:hAnsi="Times New Roman"/>
          <w:lang w:eastAsia="tr-TR"/>
        </w:rPr>
        <w:t>u yaklaşım</w:t>
      </w:r>
      <w:r w:rsidR="009A002C">
        <w:rPr>
          <w:rStyle w:val="FootnoteReference"/>
          <w:rFonts w:ascii="Times New Roman" w:hAnsi="Times New Roman"/>
          <w:lang w:eastAsia="tr-TR"/>
        </w:rPr>
        <w:footnoteReference w:id="53"/>
      </w:r>
      <w:r w:rsidR="00184B7D">
        <w:rPr>
          <w:rFonts w:ascii="Times New Roman" w:hAnsi="Times New Roman"/>
          <w:lang w:eastAsia="tr-TR"/>
        </w:rPr>
        <w:t xml:space="preserve">, Polonya hükümetince, var olan ajandalarını uygulamak için krizin bir </w:t>
      </w:r>
      <w:r w:rsidR="00184B7D" w:rsidRPr="00184B7D">
        <w:rPr>
          <w:rFonts w:ascii="Times New Roman" w:hAnsi="Times New Roman"/>
          <w:lang w:eastAsia="tr-TR"/>
        </w:rPr>
        <w:t>fırsata çevril</w:t>
      </w:r>
      <w:r w:rsidR="00184B7D">
        <w:rPr>
          <w:rFonts w:ascii="Times New Roman" w:hAnsi="Times New Roman"/>
          <w:lang w:eastAsia="tr-TR"/>
        </w:rPr>
        <w:t>diğini düşündürtmektedir</w:t>
      </w:r>
      <w:r w:rsidR="00184B7D" w:rsidRPr="00184B7D">
        <w:rPr>
          <w:rFonts w:ascii="Times New Roman" w:hAnsi="Times New Roman"/>
          <w:lang w:eastAsia="tr-TR"/>
        </w:rPr>
        <w:t>.</w:t>
      </w:r>
      <w:r w:rsidR="00184B7D">
        <w:rPr>
          <w:rFonts w:ascii="Times New Roman" w:hAnsi="Times New Roman"/>
          <w:lang w:eastAsia="tr-TR"/>
        </w:rPr>
        <w:t xml:space="preserve"> Yine,</w:t>
      </w:r>
      <w:r w:rsidR="00184B7D" w:rsidRPr="00184B7D">
        <w:rPr>
          <w:rFonts w:ascii="Times New Roman" w:hAnsi="Times New Roman"/>
          <w:lang w:eastAsia="tr-TR"/>
        </w:rPr>
        <w:t xml:space="preserve"> kamu fonlarının</w:t>
      </w:r>
      <w:r w:rsidR="00184B7D">
        <w:rPr>
          <w:rFonts w:ascii="Times New Roman" w:hAnsi="Times New Roman"/>
          <w:lang w:eastAsia="tr-TR"/>
        </w:rPr>
        <w:t xml:space="preserve"> s</w:t>
      </w:r>
      <w:r w:rsidR="00184B7D" w:rsidRPr="00184B7D">
        <w:rPr>
          <w:rFonts w:ascii="Times New Roman" w:hAnsi="Times New Roman"/>
          <w:lang w:eastAsia="tr-TR"/>
        </w:rPr>
        <w:t>eçimle</w:t>
      </w:r>
      <w:r w:rsidR="00184B7D">
        <w:rPr>
          <w:rFonts w:ascii="Times New Roman" w:hAnsi="Times New Roman"/>
          <w:lang w:eastAsia="tr-TR"/>
        </w:rPr>
        <w:t>rin finansmanında kullanılması ve devletin</w:t>
      </w:r>
      <w:r w:rsidR="00184B7D" w:rsidRPr="00184B7D">
        <w:rPr>
          <w:rFonts w:ascii="Times New Roman" w:hAnsi="Times New Roman"/>
          <w:lang w:eastAsia="tr-TR"/>
        </w:rPr>
        <w:t xml:space="preserve"> bu süreçte </w:t>
      </w:r>
      <w:r w:rsidR="00184B7D">
        <w:rPr>
          <w:rFonts w:ascii="Times New Roman" w:hAnsi="Times New Roman"/>
          <w:lang w:eastAsia="tr-TR"/>
        </w:rPr>
        <w:t xml:space="preserve">salgın nedeniyle sarsılan </w:t>
      </w:r>
      <w:r w:rsidR="00184B7D" w:rsidRPr="00184B7D">
        <w:rPr>
          <w:rFonts w:ascii="Times New Roman" w:hAnsi="Times New Roman"/>
          <w:lang w:eastAsia="tr-TR"/>
        </w:rPr>
        <w:t>ekonomiyi kurtarmak amacıyla merkez bankası aracılığıyla finanse edil</w:t>
      </w:r>
      <w:r w:rsidR="00184B7D">
        <w:rPr>
          <w:rFonts w:ascii="Times New Roman" w:hAnsi="Times New Roman"/>
          <w:lang w:eastAsia="tr-TR"/>
        </w:rPr>
        <w:t xml:space="preserve">mesi </w:t>
      </w:r>
      <w:proofErr w:type="spellStart"/>
      <w:r w:rsidR="00184B7D">
        <w:rPr>
          <w:rFonts w:ascii="Times New Roman" w:hAnsi="Times New Roman"/>
          <w:lang w:eastAsia="tr-TR"/>
        </w:rPr>
        <w:t>araçsal</w:t>
      </w:r>
      <w:proofErr w:type="spellEnd"/>
      <w:r w:rsidR="00184B7D">
        <w:rPr>
          <w:rFonts w:ascii="Times New Roman" w:hAnsi="Times New Roman"/>
          <w:lang w:eastAsia="tr-TR"/>
        </w:rPr>
        <w:t xml:space="preserve"> hukuk anlayışının diğer sonuçları olarak görülebilecektir</w:t>
      </w:r>
      <w:r w:rsidR="00184B7D">
        <w:rPr>
          <w:rStyle w:val="FootnoteReference"/>
          <w:rFonts w:ascii="Times New Roman" w:hAnsi="Times New Roman"/>
          <w:lang w:eastAsia="tr-TR"/>
        </w:rPr>
        <w:footnoteReference w:id="54"/>
      </w:r>
      <w:r w:rsidR="00184B7D">
        <w:rPr>
          <w:rFonts w:ascii="Times New Roman" w:hAnsi="Times New Roman"/>
          <w:lang w:eastAsia="tr-TR"/>
        </w:rPr>
        <w:t xml:space="preserve">. </w:t>
      </w:r>
    </w:p>
    <w:p w14:paraId="40B3A871" w14:textId="0D26A9A4" w:rsidR="004346F8" w:rsidRDefault="00503EB4" w:rsidP="00503EB4">
      <w:pPr>
        <w:jc w:val="both"/>
        <w:rPr>
          <w:rFonts w:ascii="Times New Roman" w:hAnsi="Times New Roman"/>
          <w:lang w:eastAsia="tr-TR"/>
        </w:rPr>
      </w:pPr>
      <w:r>
        <w:rPr>
          <w:rFonts w:ascii="Times New Roman" w:hAnsi="Times New Roman"/>
          <w:lang w:eastAsia="tr-TR"/>
        </w:rPr>
        <w:tab/>
      </w:r>
      <w:r w:rsidR="00D27C73">
        <w:rPr>
          <w:rFonts w:ascii="Times New Roman" w:hAnsi="Times New Roman"/>
          <w:lang w:eastAsia="tr-TR"/>
        </w:rPr>
        <w:t xml:space="preserve">Aldığı önlemler ve bunları uygulama yöntemleri itibariyle tartışmalı ülkelerden biri de </w:t>
      </w:r>
      <w:r w:rsidR="00D27C73" w:rsidRPr="00D27C73">
        <w:rPr>
          <w:rFonts w:ascii="Times New Roman" w:hAnsi="Times New Roman"/>
          <w:lang w:eastAsia="tr-TR"/>
        </w:rPr>
        <w:t>Türkiye</w:t>
      </w:r>
      <w:r w:rsidR="00252B13">
        <w:rPr>
          <w:rFonts w:ascii="Times New Roman" w:hAnsi="Times New Roman"/>
          <w:lang w:eastAsia="tr-TR"/>
        </w:rPr>
        <w:t>’</w:t>
      </w:r>
      <w:r w:rsidR="00D27C73">
        <w:rPr>
          <w:rFonts w:ascii="Times New Roman" w:hAnsi="Times New Roman"/>
          <w:lang w:eastAsia="tr-TR"/>
        </w:rPr>
        <w:t xml:space="preserve">dir. Türkiye’de </w:t>
      </w:r>
      <w:r w:rsidR="00D27C73" w:rsidRPr="00D27C73">
        <w:rPr>
          <w:rFonts w:ascii="Times New Roman" w:hAnsi="Times New Roman"/>
          <w:lang w:eastAsia="tr-TR"/>
        </w:rPr>
        <w:t>bugüne kadar korona virüs salgını nedeniyle olağanüstü hâl ilân edilme</w:t>
      </w:r>
      <w:r w:rsidR="00D27C73">
        <w:rPr>
          <w:rFonts w:ascii="Times New Roman" w:hAnsi="Times New Roman"/>
          <w:lang w:eastAsia="tr-TR"/>
        </w:rPr>
        <w:t xml:space="preserve">miş, </w:t>
      </w:r>
      <w:r w:rsidR="00D27C73" w:rsidRPr="00D27C73">
        <w:rPr>
          <w:rFonts w:ascii="Times New Roman" w:hAnsi="Times New Roman"/>
          <w:lang w:eastAsia="tr-TR"/>
        </w:rPr>
        <w:t>salgınla, olağan dönem hukuki araçlarıyla mücadele edilmeye çalışı</w:t>
      </w:r>
      <w:r w:rsidR="00D27C73">
        <w:rPr>
          <w:rFonts w:ascii="Times New Roman" w:hAnsi="Times New Roman"/>
          <w:lang w:eastAsia="tr-TR"/>
        </w:rPr>
        <w:t xml:space="preserve">lmıştır. Aslında, siyasi iktidarın en çok eleştiri alan tercihlerinden biri de budur. </w:t>
      </w:r>
      <w:r w:rsidR="00D27C73" w:rsidRPr="00D27C73">
        <w:rPr>
          <w:rFonts w:ascii="Times New Roman" w:hAnsi="Times New Roman"/>
          <w:lang w:eastAsia="tr-TR"/>
        </w:rPr>
        <w:t>1982 A</w:t>
      </w:r>
      <w:r w:rsidR="00D27C73">
        <w:rPr>
          <w:rFonts w:ascii="Times New Roman" w:hAnsi="Times New Roman"/>
          <w:lang w:eastAsia="tr-TR"/>
        </w:rPr>
        <w:t xml:space="preserve">nayasası’nın 119. maddesine </w:t>
      </w:r>
      <w:r w:rsidR="00D27C73" w:rsidRPr="00D27C73">
        <w:rPr>
          <w:rFonts w:ascii="Times New Roman" w:hAnsi="Times New Roman"/>
          <w:lang w:eastAsia="tr-TR"/>
        </w:rPr>
        <w:t>göre C</w:t>
      </w:r>
      <w:r w:rsidR="00D27C73">
        <w:rPr>
          <w:rFonts w:ascii="Times New Roman" w:hAnsi="Times New Roman"/>
          <w:lang w:eastAsia="tr-TR"/>
        </w:rPr>
        <w:t xml:space="preserve">umhurbaşkanı’nın </w:t>
      </w:r>
      <w:r w:rsidR="00D27C73" w:rsidRPr="00D27C73">
        <w:rPr>
          <w:rFonts w:ascii="Times New Roman" w:hAnsi="Times New Roman"/>
          <w:lang w:eastAsia="tr-TR"/>
        </w:rPr>
        <w:t xml:space="preserve">böyle bir yetkisi </w:t>
      </w:r>
      <w:r w:rsidR="00D27C73">
        <w:rPr>
          <w:rFonts w:ascii="Times New Roman" w:hAnsi="Times New Roman"/>
          <w:lang w:eastAsia="tr-TR"/>
        </w:rPr>
        <w:t>olmakla birlikte bu</w:t>
      </w:r>
      <w:r w:rsidR="00D27C73" w:rsidRPr="00D27C73">
        <w:rPr>
          <w:rFonts w:ascii="Times New Roman" w:hAnsi="Times New Roman"/>
          <w:lang w:eastAsia="tr-TR"/>
        </w:rPr>
        <w:t xml:space="preserve"> yol kullanılma</w:t>
      </w:r>
      <w:r w:rsidR="00D27C73">
        <w:rPr>
          <w:rFonts w:ascii="Times New Roman" w:hAnsi="Times New Roman"/>
          <w:lang w:eastAsia="tr-TR"/>
        </w:rPr>
        <w:t>mıştır</w:t>
      </w:r>
      <w:r w:rsidR="00D27C73" w:rsidRPr="00D27C73">
        <w:rPr>
          <w:rFonts w:ascii="Times New Roman" w:hAnsi="Times New Roman"/>
          <w:lang w:eastAsia="tr-TR"/>
        </w:rPr>
        <w:t>. Bu</w:t>
      </w:r>
      <w:r w:rsidR="00D27C73">
        <w:rPr>
          <w:rFonts w:ascii="Times New Roman" w:hAnsi="Times New Roman"/>
          <w:lang w:eastAsia="tr-TR"/>
        </w:rPr>
        <w:t xml:space="preserve">nun </w:t>
      </w:r>
      <w:r w:rsidR="0011629E">
        <w:rPr>
          <w:rFonts w:ascii="Times New Roman" w:hAnsi="Times New Roman"/>
          <w:lang w:eastAsia="tr-TR"/>
        </w:rPr>
        <w:t xml:space="preserve">önemi, </w:t>
      </w:r>
      <w:r w:rsidR="00D27C73">
        <w:rPr>
          <w:rFonts w:ascii="Times New Roman" w:hAnsi="Times New Roman"/>
          <w:lang w:eastAsia="tr-TR"/>
        </w:rPr>
        <w:t xml:space="preserve">olağanüstü hâl ilan edilmeden halihazırda </w:t>
      </w:r>
      <w:r w:rsidR="00D27C73" w:rsidRPr="00D27C73">
        <w:rPr>
          <w:rFonts w:ascii="Times New Roman" w:hAnsi="Times New Roman"/>
          <w:lang w:eastAsia="tr-TR"/>
        </w:rPr>
        <w:t>alınan önlemlerin hemen hepsi</w:t>
      </w:r>
      <w:r w:rsidR="0011629E">
        <w:rPr>
          <w:rFonts w:ascii="Times New Roman" w:hAnsi="Times New Roman"/>
          <w:lang w:eastAsia="tr-TR"/>
        </w:rPr>
        <w:t xml:space="preserve">nin </w:t>
      </w:r>
      <w:r w:rsidR="00D27C73">
        <w:rPr>
          <w:rFonts w:ascii="Times New Roman" w:hAnsi="Times New Roman"/>
          <w:lang w:eastAsia="tr-TR"/>
        </w:rPr>
        <w:t>Anayasa’ya aykırılık teşkil etme</w:t>
      </w:r>
      <w:r w:rsidR="0011629E">
        <w:rPr>
          <w:rFonts w:ascii="Times New Roman" w:hAnsi="Times New Roman"/>
          <w:lang w:eastAsia="tr-TR"/>
        </w:rPr>
        <w:t>sinden</w:t>
      </w:r>
      <w:r w:rsidR="00336E79">
        <w:rPr>
          <w:rFonts w:ascii="Times New Roman" w:hAnsi="Times New Roman"/>
          <w:lang w:eastAsia="tr-TR"/>
        </w:rPr>
        <w:t xml:space="preserve"> ileri gelir</w:t>
      </w:r>
      <w:r w:rsidR="0011629E">
        <w:rPr>
          <w:rFonts w:ascii="Times New Roman" w:hAnsi="Times New Roman"/>
          <w:lang w:eastAsia="tr-TR"/>
        </w:rPr>
        <w:t xml:space="preserve">. Dolayısıyla, Türkiye’de salgın önlemlerine ilişkin tartışmalardan ilki hukuki dayanak sorunudur. </w:t>
      </w:r>
      <w:r w:rsidR="00D27C73">
        <w:rPr>
          <w:rFonts w:ascii="Times New Roman" w:hAnsi="Times New Roman"/>
          <w:lang w:eastAsia="tr-TR"/>
        </w:rPr>
        <w:t xml:space="preserve">Öyle ki, Anayasa madde 13, </w:t>
      </w:r>
      <w:r w:rsidR="00D27C73" w:rsidRPr="00D27C73">
        <w:rPr>
          <w:rFonts w:ascii="Times New Roman" w:hAnsi="Times New Roman"/>
          <w:lang w:eastAsia="tr-TR"/>
        </w:rPr>
        <w:t xml:space="preserve">olağan dönemlerde </w:t>
      </w:r>
      <w:r w:rsidR="00D27C73">
        <w:rPr>
          <w:rFonts w:ascii="Times New Roman" w:hAnsi="Times New Roman"/>
          <w:lang w:eastAsia="tr-TR"/>
        </w:rPr>
        <w:t xml:space="preserve">tüm </w:t>
      </w:r>
      <w:r w:rsidR="00D27C73" w:rsidRPr="00D27C73">
        <w:rPr>
          <w:rFonts w:ascii="Times New Roman" w:hAnsi="Times New Roman"/>
          <w:lang w:eastAsia="tr-TR"/>
        </w:rPr>
        <w:t>temel hak ve özg</w:t>
      </w:r>
      <w:r w:rsidR="00D27C73">
        <w:rPr>
          <w:rFonts w:ascii="Times New Roman" w:hAnsi="Times New Roman"/>
          <w:lang w:eastAsia="tr-TR"/>
        </w:rPr>
        <w:t xml:space="preserve">ürlüklerin yalnızca </w:t>
      </w:r>
      <w:r w:rsidR="00D27C73" w:rsidRPr="00D27C73">
        <w:rPr>
          <w:rFonts w:ascii="Times New Roman" w:hAnsi="Times New Roman"/>
          <w:lang w:eastAsia="tr-TR"/>
        </w:rPr>
        <w:t>kanunla sınırlan</w:t>
      </w:r>
      <w:r w:rsidR="00D27C73">
        <w:rPr>
          <w:rFonts w:ascii="Times New Roman" w:hAnsi="Times New Roman"/>
          <w:lang w:eastAsia="tr-TR"/>
        </w:rPr>
        <w:t xml:space="preserve">abileceğini güvence altına almaktadır. Salgın döneminde </w:t>
      </w:r>
      <w:r w:rsidR="00D27C73" w:rsidRPr="00D27C73">
        <w:rPr>
          <w:rFonts w:ascii="Times New Roman" w:hAnsi="Times New Roman"/>
          <w:lang w:eastAsia="tr-TR"/>
        </w:rPr>
        <w:t>alınan önlemler</w:t>
      </w:r>
      <w:r w:rsidR="00DF759F">
        <w:rPr>
          <w:rFonts w:ascii="Times New Roman" w:hAnsi="Times New Roman"/>
          <w:lang w:eastAsia="tr-TR"/>
        </w:rPr>
        <w:t xml:space="preserve"> ise </w:t>
      </w:r>
      <w:r w:rsidR="00D27C73">
        <w:rPr>
          <w:rFonts w:ascii="Times New Roman" w:hAnsi="Times New Roman"/>
          <w:lang w:eastAsia="tr-TR"/>
        </w:rPr>
        <w:t xml:space="preserve">diğer pek çok ülkede olduğu gibi çok sayıda </w:t>
      </w:r>
      <w:r w:rsidR="00D27C73" w:rsidRPr="00D27C73">
        <w:rPr>
          <w:rFonts w:ascii="Times New Roman" w:hAnsi="Times New Roman"/>
          <w:lang w:eastAsia="tr-TR"/>
        </w:rPr>
        <w:t xml:space="preserve">anayasal hak ve özgürlüğe </w:t>
      </w:r>
      <w:r w:rsidR="00DF759F">
        <w:rPr>
          <w:rFonts w:ascii="Times New Roman" w:hAnsi="Times New Roman"/>
          <w:lang w:eastAsia="tr-TR"/>
        </w:rPr>
        <w:t>dokunmaktadır. Bunlar arasında</w:t>
      </w:r>
      <w:r w:rsidR="00336E79">
        <w:rPr>
          <w:rFonts w:ascii="Times New Roman" w:hAnsi="Times New Roman"/>
          <w:lang w:eastAsia="tr-TR"/>
        </w:rPr>
        <w:t xml:space="preserve"> yer alan </w:t>
      </w:r>
      <w:r w:rsidR="00DF759F">
        <w:rPr>
          <w:rFonts w:ascii="Times New Roman" w:hAnsi="Times New Roman"/>
          <w:lang w:eastAsia="tr-TR"/>
        </w:rPr>
        <w:t>s</w:t>
      </w:r>
      <w:r w:rsidR="00DF759F" w:rsidRPr="00DF759F">
        <w:rPr>
          <w:rFonts w:ascii="Times New Roman" w:hAnsi="Times New Roman"/>
          <w:lang w:eastAsia="tr-TR"/>
        </w:rPr>
        <w:t xml:space="preserve">okağa çıkma yasağı ve yurtlarda </w:t>
      </w:r>
      <w:r w:rsidR="00DF759F">
        <w:rPr>
          <w:rFonts w:ascii="Times New Roman" w:hAnsi="Times New Roman"/>
          <w:lang w:eastAsia="tr-TR"/>
        </w:rPr>
        <w:t xml:space="preserve">on dört </w:t>
      </w:r>
      <w:r w:rsidR="00DF759F" w:rsidRPr="00DF759F">
        <w:rPr>
          <w:rFonts w:ascii="Times New Roman" w:hAnsi="Times New Roman"/>
          <w:lang w:eastAsia="tr-TR"/>
        </w:rPr>
        <w:t xml:space="preserve">günlük zorunlu tecrit “kişi hürriyeti ve güvenliği </w:t>
      </w:r>
      <w:proofErr w:type="spellStart"/>
      <w:r w:rsidR="00DF759F" w:rsidRPr="00DF759F">
        <w:rPr>
          <w:rFonts w:ascii="Times New Roman" w:hAnsi="Times New Roman"/>
          <w:lang w:eastAsia="tr-TR"/>
        </w:rPr>
        <w:t>hakkı”nı</w:t>
      </w:r>
      <w:proofErr w:type="spellEnd"/>
      <w:r w:rsidR="00DF759F" w:rsidRPr="00DF759F">
        <w:rPr>
          <w:rFonts w:ascii="Times New Roman" w:hAnsi="Times New Roman"/>
          <w:lang w:eastAsia="tr-TR"/>
        </w:rPr>
        <w:t xml:space="preserve"> (m.19), maske takma zorunluluğu “kişinin dokunulmazlığı, maddi ve manevi varlığı </w:t>
      </w:r>
      <w:proofErr w:type="spellStart"/>
      <w:r w:rsidR="00DF759F" w:rsidRPr="00DF759F">
        <w:rPr>
          <w:rFonts w:ascii="Times New Roman" w:hAnsi="Times New Roman"/>
          <w:lang w:eastAsia="tr-TR"/>
        </w:rPr>
        <w:t>hakkı”nı</w:t>
      </w:r>
      <w:proofErr w:type="spellEnd"/>
      <w:r w:rsidR="00DF759F" w:rsidRPr="00DF759F">
        <w:rPr>
          <w:rFonts w:ascii="Times New Roman" w:hAnsi="Times New Roman"/>
          <w:lang w:eastAsia="tr-TR"/>
        </w:rPr>
        <w:t xml:space="preserve"> (m.17), şehirlerarası seyahat yasağı “yerleşme ve seyahat </w:t>
      </w:r>
      <w:proofErr w:type="spellStart"/>
      <w:r w:rsidR="00DF759F" w:rsidRPr="00DF759F">
        <w:rPr>
          <w:rFonts w:ascii="Times New Roman" w:hAnsi="Times New Roman"/>
          <w:lang w:eastAsia="tr-TR"/>
        </w:rPr>
        <w:t>hürriyeti”ni</w:t>
      </w:r>
      <w:proofErr w:type="spellEnd"/>
      <w:r w:rsidR="00DF759F" w:rsidRPr="00DF759F">
        <w:rPr>
          <w:rFonts w:ascii="Times New Roman" w:hAnsi="Times New Roman"/>
          <w:lang w:eastAsia="tr-TR"/>
        </w:rPr>
        <w:t xml:space="preserve"> (m.23), camilerde namaz kılma yasağı “ibadet </w:t>
      </w:r>
      <w:proofErr w:type="spellStart"/>
      <w:r w:rsidR="00DF759F" w:rsidRPr="00DF759F">
        <w:rPr>
          <w:rFonts w:ascii="Times New Roman" w:hAnsi="Times New Roman"/>
          <w:lang w:eastAsia="tr-TR"/>
        </w:rPr>
        <w:t>hürriyeti”ni</w:t>
      </w:r>
      <w:proofErr w:type="spellEnd"/>
      <w:r w:rsidR="00DF759F" w:rsidRPr="00DF759F">
        <w:rPr>
          <w:rFonts w:ascii="Times New Roman" w:hAnsi="Times New Roman"/>
          <w:lang w:eastAsia="tr-TR"/>
        </w:rPr>
        <w:t xml:space="preserve"> (m.24), iş yerlerinin kapatılması “mülkiyet </w:t>
      </w:r>
      <w:proofErr w:type="spellStart"/>
      <w:r w:rsidR="00DF759F" w:rsidRPr="00DF759F">
        <w:rPr>
          <w:rFonts w:ascii="Times New Roman" w:hAnsi="Times New Roman"/>
          <w:lang w:eastAsia="tr-TR"/>
        </w:rPr>
        <w:t>hakkı”nı</w:t>
      </w:r>
      <w:proofErr w:type="spellEnd"/>
      <w:r w:rsidR="00DF759F" w:rsidRPr="00DF759F">
        <w:rPr>
          <w:rFonts w:ascii="Times New Roman" w:hAnsi="Times New Roman"/>
          <w:lang w:eastAsia="tr-TR"/>
        </w:rPr>
        <w:t xml:space="preserve"> (m.35) ve “çalışma ve sözleşme </w:t>
      </w:r>
      <w:proofErr w:type="spellStart"/>
      <w:r w:rsidR="00DF759F" w:rsidRPr="00DF759F">
        <w:rPr>
          <w:rFonts w:ascii="Times New Roman" w:hAnsi="Times New Roman"/>
          <w:lang w:eastAsia="tr-TR"/>
        </w:rPr>
        <w:t>hürriyeti”ni</w:t>
      </w:r>
      <w:proofErr w:type="spellEnd"/>
      <w:r w:rsidR="00DF759F" w:rsidRPr="00DF759F">
        <w:rPr>
          <w:rFonts w:ascii="Times New Roman" w:hAnsi="Times New Roman"/>
          <w:lang w:eastAsia="tr-TR"/>
        </w:rPr>
        <w:t xml:space="preserve"> (m.48), icra takiplerinin ertelenmesi “hak arama </w:t>
      </w:r>
      <w:proofErr w:type="spellStart"/>
      <w:r w:rsidR="00DF759F" w:rsidRPr="00DF759F">
        <w:rPr>
          <w:rFonts w:ascii="Times New Roman" w:hAnsi="Times New Roman"/>
          <w:lang w:eastAsia="tr-TR"/>
        </w:rPr>
        <w:t>hürriyeti”ni</w:t>
      </w:r>
      <w:proofErr w:type="spellEnd"/>
      <w:r w:rsidR="00DF759F" w:rsidRPr="00DF759F">
        <w:rPr>
          <w:rFonts w:ascii="Times New Roman" w:hAnsi="Times New Roman"/>
          <w:lang w:eastAsia="tr-TR"/>
        </w:rPr>
        <w:t xml:space="preserve"> (m.36), okulların tatil edilmesi “eğitim ve öğretim </w:t>
      </w:r>
      <w:proofErr w:type="spellStart"/>
      <w:r w:rsidR="00DF759F" w:rsidRPr="00DF759F">
        <w:rPr>
          <w:rFonts w:ascii="Times New Roman" w:hAnsi="Times New Roman"/>
          <w:lang w:eastAsia="tr-TR"/>
        </w:rPr>
        <w:t>hakkı”nı</w:t>
      </w:r>
      <w:proofErr w:type="spellEnd"/>
      <w:r w:rsidR="00DF759F" w:rsidRPr="00DF759F">
        <w:rPr>
          <w:rFonts w:ascii="Times New Roman" w:hAnsi="Times New Roman"/>
          <w:lang w:eastAsia="tr-TR"/>
        </w:rPr>
        <w:t xml:space="preserve"> (m.42)</w:t>
      </w:r>
      <w:r w:rsidR="00DF759F">
        <w:rPr>
          <w:rFonts w:ascii="Times New Roman" w:hAnsi="Times New Roman"/>
          <w:lang w:eastAsia="tr-TR"/>
        </w:rPr>
        <w:t xml:space="preserve"> ve </w:t>
      </w:r>
      <w:r w:rsidR="00DF759F" w:rsidRPr="00DF759F">
        <w:rPr>
          <w:rFonts w:ascii="Times New Roman" w:hAnsi="Times New Roman"/>
          <w:lang w:eastAsia="tr-TR"/>
        </w:rPr>
        <w:t xml:space="preserve">işçi çıkarma yasağı “sözleşme </w:t>
      </w:r>
      <w:proofErr w:type="spellStart"/>
      <w:r w:rsidR="00DF759F" w:rsidRPr="00DF759F">
        <w:rPr>
          <w:rFonts w:ascii="Times New Roman" w:hAnsi="Times New Roman"/>
          <w:lang w:eastAsia="tr-TR"/>
        </w:rPr>
        <w:t>hürriyeti”ni</w:t>
      </w:r>
      <w:proofErr w:type="spellEnd"/>
      <w:r w:rsidR="00DF759F" w:rsidRPr="00DF759F">
        <w:rPr>
          <w:rFonts w:ascii="Times New Roman" w:hAnsi="Times New Roman"/>
          <w:lang w:eastAsia="tr-TR"/>
        </w:rPr>
        <w:t xml:space="preserve"> (m.48)</w:t>
      </w:r>
      <w:r w:rsidR="00DF759F">
        <w:rPr>
          <w:rFonts w:ascii="Times New Roman" w:hAnsi="Times New Roman"/>
          <w:lang w:eastAsia="tr-TR"/>
        </w:rPr>
        <w:t xml:space="preserve"> etkiler niteliktedir</w:t>
      </w:r>
      <w:r w:rsidR="00DF759F" w:rsidRPr="00DF759F">
        <w:rPr>
          <w:rFonts w:ascii="Times New Roman" w:hAnsi="Times New Roman"/>
          <w:lang w:eastAsia="tr-TR"/>
        </w:rPr>
        <w:t>.</w:t>
      </w:r>
      <w:r w:rsidR="00DF759F">
        <w:rPr>
          <w:rFonts w:ascii="Times New Roman" w:hAnsi="Times New Roman"/>
          <w:lang w:eastAsia="tr-TR"/>
        </w:rPr>
        <w:t xml:space="preserve"> Salgına ilişkin burada sayılan ve sayılmayan diğer haklara dokunan </w:t>
      </w:r>
      <w:r w:rsidR="00DF759F" w:rsidRPr="00DF759F">
        <w:rPr>
          <w:rFonts w:ascii="Times New Roman" w:hAnsi="Times New Roman"/>
          <w:lang w:eastAsia="tr-TR"/>
        </w:rPr>
        <w:t>önlemler diğer ülkelerle hemen hemen aynı</w:t>
      </w:r>
      <w:r w:rsidR="00DF759F">
        <w:rPr>
          <w:rFonts w:ascii="Times New Roman" w:hAnsi="Times New Roman"/>
          <w:lang w:eastAsia="tr-TR"/>
        </w:rPr>
        <w:t xml:space="preserve"> olup tartışmalı olan y</w:t>
      </w:r>
      <w:r w:rsidR="00DF759F" w:rsidRPr="00DF759F">
        <w:rPr>
          <w:rFonts w:ascii="Times New Roman" w:hAnsi="Times New Roman"/>
          <w:lang w:eastAsia="tr-TR"/>
        </w:rPr>
        <w:t>öntem</w:t>
      </w:r>
      <w:r w:rsidR="00DF759F">
        <w:rPr>
          <w:rFonts w:ascii="Times New Roman" w:hAnsi="Times New Roman"/>
          <w:lang w:eastAsia="tr-TR"/>
        </w:rPr>
        <w:t xml:space="preserve">dir. Öyle ki, </w:t>
      </w:r>
      <w:r w:rsidR="00DF759F" w:rsidRPr="00DF759F">
        <w:rPr>
          <w:rFonts w:ascii="Times New Roman" w:hAnsi="Times New Roman"/>
          <w:lang w:eastAsia="tr-TR"/>
        </w:rPr>
        <w:t xml:space="preserve">haklara ilişkin sınırlamaların pek çoğu için </w:t>
      </w:r>
      <w:r w:rsidR="00DF759F">
        <w:rPr>
          <w:rFonts w:ascii="Times New Roman" w:hAnsi="Times New Roman"/>
          <w:lang w:eastAsia="tr-TR"/>
        </w:rPr>
        <w:t xml:space="preserve">yasal </w:t>
      </w:r>
      <w:r w:rsidR="00DF759F" w:rsidRPr="00DF759F">
        <w:rPr>
          <w:rFonts w:ascii="Times New Roman" w:hAnsi="Times New Roman"/>
          <w:lang w:eastAsia="tr-TR"/>
        </w:rPr>
        <w:t xml:space="preserve">dayanak </w:t>
      </w:r>
      <w:r w:rsidR="00DF759F">
        <w:rPr>
          <w:rFonts w:ascii="Times New Roman" w:hAnsi="Times New Roman"/>
          <w:lang w:eastAsia="tr-TR"/>
        </w:rPr>
        <w:t xml:space="preserve">yoktur ve </w:t>
      </w:r>
      <w:r w:rsidR="00336E79">
        <w:rPr>
          <w:rFonts w:ascii="Times New Roman" w:hAnsi="Times New Roman"/>
          <w:lang w:eastAsia="tr-TR"/>
        </w:rPr>
        <w:t>bir</w:t>
      </w:r>
      <w:r w:rsidR="00DF759F" w:rsidRPr="00DF759F">
        <w:rPr>
          <w:rFonts w:ascii="Times New Roman" w:hAnsi="Times New Roman"/>
          <w:lang w:eastAsia="tr-TR"/>
        </w:rPr>
        <w:t xml:space="preserve">çoğu </w:t>
      </w:r>
      <w:r w:rsidR="00DF759F">
        <w:rPr>
          <w:rFonts w:ascii="Times New Roman" w:hAnsi="Times New Roman"/>
          <w:lang w:eastAsia="tr-TR"/>
        </w:rPr>
        <w:t xml:space="preserve">Cumhurbaşkanlığı </w:t>
      </w:r>
      <w:r w:rsidR="00DF759F" w:rsidRPr="00DF759F">
        <w:rPr>
          <w:rFonts w:ascii="Times New Roman" w:hAnsi="Times New Roman"/>
          <w:lang w:eastAsia="tr-TR"/>
        </w:rPr>
        <w:t xml:space="preserve">kararnamesi, </w:t>
      </w:r>
      <w:r w:rsidR="00DF759F">
        <w:rPr>
          <w:rFonts w:ascii="Times New Roman" w:hAnsi="Times New Roman"/>
          <w:lang w:eastAsia="tr-TR"/>
        </w:rPr>
        <w:t xml:space="preserve">Cumhurbaşkanlığı </w:t>
      </w:r>
      <w:r w:rsidR="00DF759F" w:rsidRPr="00DF759F">
        <w:rPr>
          <w:rFonts w:ascii="Times New Roman" w:hAnsi="Times New Roman"/>
          <w:lang w:eastAsia="tr-TR"/>
        </w:rPr>
        <w:t xml:space="preserve">genelgesi, </w:t>
      </w:r>
      <w:r w:rsidR="00DF759F">
        <w:rPr>
          <w:rFonts w:ascii="Times New Roman" w:hAnsi="Times New Roman"/>
          <w:lang w:eastAsia="tr-TR"/>
        </w:rPr>
        <w:t xml:space="preserve">Cumhurbaşkanlığı </w:t>
      </w:r>
      <w:r w:rsidR="00DF759F" w:rsidRPr="00DF759F">
        <w:rPr>
          <w:rFonts w:ascii="Times New Roman" w:hAnsi="Times New Roman"/>
          <w:lang w:eastAsia="tr-TR"/>
        </w:rPr>
        <w:t>kararı, İçişleri bakanlığı genelgeleri</w:t>
      </w:r>
      <w:r w:rsidR="00DF759F">
        <w:rPr>
          <w:rFonts w:ascii="Times New Roman" w:hAnsi="Times New Roman"/>
          <w:lang w:eastAsia="tr-TR"/>
        </w:rPr>
        <w:t xml:space="preserve"> veya </w:t>
      </w:r>
      <w:r w:rsidR="00DF759F" w:rsidRPr="00DF759F">
        <w:rPr>
          <w:rFonts w:ascii="Times New Roman" w:hAnsi="Times New Roman"/>
          <w:lang w:eastAsia="tr-TR"/>
        </w:rPr>
        <w:t>valilik kararları ile gerçekleştiri</w:t>
      </w:r>
      <w:r w:rsidR="00DF759F">
        <w:rPr>
          <w:rFonts w:ascii="Times New Roman" w:hAnsi="Times New Roman"/>
          <w:lang w:eastAsia="tr-TR"/>
        </w:rPr>
        <w:t>lmiştir</w:t>
      </w:r>
      <w:r w:rsidR="00DF759F" w:rsidRPr="00DF759F">
        <w:rPr>
          <w:rFonts w:ascii="Times New Roman" w:hAnsi="Times New Roman"/>
          <w:lang w:eastAsia="tr-TR"/>
        </w:rPr>
        <w:t xml:space="preserve">. </w:t>
      </w:r>
      <w:r w:rsidR="008E6868">
        <w:rPr>
          <w:rFonts w:ascii="Times New Roman" w:hAnsi="Times New Roman"/>
          <w:lang w:eastAsia="tr-TR"/>
        </w:rPr>
        <w:t xml:space="preserve">Alınan önlemlere dair kanunilik tartışmasını beraberinde getiren </w:t>
      </w:r>
      <w:r w:rsidR="00DF759F">
        <w:rPr>
          <w:rFonts w:ascii="Times New Roman" w:hAnsi="Times New Roman"/>
          <w:lang w:eastAsia="tr-TR"/>
        </w:rPr>
        <w:t xml:space="preserve">bu düzenlemelerin </w:t>
      </w:r>
      <w:r w:rsidR="00DF759F" w:rsidRPr="00DF759F">
        <w:rPr>
          <w:rFonts w:ascii="Times New Roman" w:hAnsi="Times New Roman"/>
          <w:lang w:eastAsia="tr-TR"/>
        </w:rPr>
        <w:t>normlar hiyerarşisinde kanunların altında yer alan normatif düzenlemeler</w:t>
      </w:r>
      <w:r w:rsidR="00DF759F">
        <w:rPr>
          <w:rFonts w:ascii="Times New Roman" w:hAnsi="Times New Roman"/>
          <w:lang w:eastAsia="tr-TR"/>
        </w:rPr>
        <w:t xml:space="preserve"> olduğun</w:t>
      </w:r>
      <w:r w:rsidR="00336E79">
        <w:rPr>
          <w:rFonts w:ascii="Times New Roman" w:hAnsi="Times New Roman"/>
          <w:lang w:eastAsia="tr-TR"/>
        </w:rPr>
        <w:t xml:space="preserve">a dair tartışmaları </w:t>
      </w:r>
      <w:r w:rsidR="00DF759F">
        <w:rPr>
          <w:rFonts w:ascii="Times New Roman" w:hAnsi="Times New Roman"/>
          <w:lang w:eastAsia="tr-TR"/>
        </w:rPr>
        <w:t xml:space="preserve">da </w:t>
      </w:r>
      <w:r w:rsidR="00336E79">
        <w:rPr>
          <w:rFonts w:ascii="Times New Roman" w:hAnsi="Times New Roman"/>
          <w:lang w:eastAsia="tr-TR"/>
        </w:rPr>
        <w:t xml:space="preserve">burada </w:t>
      </w:r>
      <w:r w:rsidR="00DF759F">
        <w:rPr>
          <w:rFonts w:ascii="Times New Roman" w:hAnsi="Times New Roman"/>
          <w:lang w:eastAsia="tr-TR"/>
        </w:rPr>
        <w:t xml:space="preserve">not etmek gerekir. </w:t>
      </w:r>
    </w:p>
    <w:p w14:paraId="7A369C24" w14:textId="51C7AB58" w:rsidR="00E95F25" w:rsidRDefault="004346F8" w:rsidP="00503EB4">
      <w:pPr>
        <w:jc w:val="both"/>
        <w:rPr>
          <w:rFonts w:ascii="Times New Roman" w:hAnsi="Times New Roman"/>
          <w:lang w:eastAsia="tr-TR"/>
        </w:rPr>
      </w:pPr>
      <w:r>
        <w:rPr>
          <w:rFonts w:ascii="Times New Roman" w:hAnsi="Times New Roman"/>
          <w:lang w:eastAsia="tr-TR"/>
        </w:rPr>
        <w:tab/>
        <w:t xml:space="preserve">Alınan önlemlerde dayanılan ilk hukuki düzenleme, 1 no.lu Cumhurbaşkanlığı Kararnamesidir. Kararname, Sağlık Bakanlığı içinde teşkilatlanan Halk Sağlığı Genel Müdürlüğü’ne, </w:t>
      </w:r>
      <w:r w:rsidRPr="005E3902">
        <w:rPr>
          <w:rFonts w:ascii="Times New Roman" w:hAnsi="Times New Roman"/>
          <w:i/>
          <w:iCs/>
          <w:lang w:eastAsia="tr-TR"/>
        </w:rPr>
        <w:t>“Halk sağlığını korumak ve geliştirmek, sağlık için risk oluşturan faktörlerle mücadele etmek”</w:t>
      </w:r>
      <w:r w:rsidRPr="004346F8">
        <w:rPr>
          <w:rFonts w:ascii="Times New Roman" w:hAnsi="Times New Roman"/>
          <w:lang w:eastAsia="tr-TR"/>
        </w:rPr>
        <w:t xml:space="preserve"> yetkisinin yanı sıra </w:t>
      </w:r>
      <w:r w:rsidRPr="005E3902">
        <w:rPr>
          <w:rFonts w:ascii="Times New Roman" w:hAnsi="Times New Roman"/>
          <w:i/>
          <w:iCs/>
          <w:lang w:eastAsia="tr-TR"/>
        </w:rPr>
        <w:t xml:space="preserve">“bulaşıcı, hastalıkları izleme, </w:t>
      </w:r>
      <w:proofErr w:type="spellStart"/>
      <w:r w:rsidRPr="005E3902">
        <w:rPr>
          <w:rFonts w:ascii="Times New Roman" w:hAnsi="Times New Roman"/>
          <w:i/>
          <w:iCs/>
          <w:lang w:eastAsia="tr-TR"/>
        </w:rPr>
        <w:t>sürveyans</w:t>
      </w:r>
      <w:proofErr w:type="spellEnd"/>
      <w:r w:rsidRPr="005E3902">
        <w:rPr>
          <w:rFonts w:ascii="Times New Roman" w:hAnsi="Times New Roman"/>
          <w:i/>
          <w:iCs/>
          <w:lang w:eastAsia="tr-TR"/>
        </w:rPr>
        <w:t>, inceleme, araştırma, bağışıklama ve kontrol çalışmaları yapmak, bunlarla ilgili verilerin toplanmasını sağlamak, belirlenen hedefler doğrultusunda plan ve programlar hazırlamak, uygulamaya koymak, denetlenmesini sağlamak, değerlendirmek ve gerekli önlemleri almak”</w:t>
      </w:r>
      <w:r w:rsidRPr="004346F8">
        <w:rPr>
          <w:rFonts w:ascii="Times New Roman" w:hAnsi="Times New Roman"/>
          <w:lang w:eastAsia="tr-TR"/>
        </w:rPr>
        <w:t xml:space="preserve"> yetkisi </w:t>
      </w:r>
      <w:r>
        <w:rPr>
          <w:rFonts w:ascii="Times New Roman" w:hAnsi="Times New Roman"/>
          <w:lang w:eastAsia="tr-TR"/>
        </w:rPr>
        <w:t>de vermektedir</w:t>
      </w:r>
      <w:r>
        <w:rPr>
          <w:rStyle w:val="FootnoteReference"/>
          <w:rFonts w:ascii="Times New Roman" w:hAnsi="Times New Roman"/>
          <w:lang w:eastAsia="tr-TR"/>
        </w:rPr>
        <w:footnoteReference w:id="55"/>
      </w:r>
      <w:r>
        <w:rPr>
          <w:rFonts w:ascii="Times New Roman" w:hAnsi="Times New Roman"/>
          <w:lang w:eastAsia="tr-TR"/>
        </w:rPr>
        <w:t>.</w:t>
      </w:r>
      <w:r w:rsidRPr="004346F8">
        <w:rPr>
          <w:rFonts w:ascii="Times New Roman" w:hAnsi="Times New Roman"/>
          <w:lang w:eastAsia="tr-TR"/>
        </w:rPr>
        <w:t> </w:t>
      </w:r>
      <w:r>
        <w:rPr>
          <w:rFonts w:ascii="Times New Roman" w:hAnsi="Times New Roman"/>
          <w:lang w:eastAsia="tr-TR"/>
        </w:rPr>
        <w:t>İkinci olarak</w:t>
      </w:r>
      <w:r w:rsidR="00DF759F" w:rsidRPr="00DF759F">
        <w:rPr>
          <w:rFonts w:ascii="Times New Roman" w:hAnsi="Times New Roman"/>
          <w:lang w:eastAsia="tr-TR"/>
        </w:rPr>
        <w:t xml:space="preserve">, </w:t>
      </w:r>
      <w:r>
        <w:rPr>
          <w:rFonts w:ascii="Times New Roman" w:hAnsi="Times New Roman"/>
          <w:lang w:eastAsia="tr-TR"/>
        </w:rPr>
        <w:t xml:space="preserve">salgın kapsamında </w:t>
      </w:r>
      <w:r w:rsidR="00DF759F">
        <w:rPr>
          <w:rFonts w:ascii="Times New Roman" w:hAnsi="Times New Roman"/>
          <w:lang w:eastAsia="tr-TR"/>
        </w:rPr>
        <w:t xml:space="preserve">alınan önlemlerin </w:t>
      </w:r>
      <w:r w:rsidR="00DF759F" w:rsidRPr="00DF759F">
        <w:rPr>
          <w:rFonts w:ascii="Times New Roman" w:hAnsi="Times New Roman"/>
          <w:lang w:eastAsia="tr-TR"/>
        </w:rPr>
        <w:t xml:space="preserve">hemen hepsi için 1593 sayılı Umumi Hıfzıssıhha Kanunu ve 5442 </w:t>
      </w:r>
      <w:r w:rsidR="00DF759F">
        <w:rPr>
          <w:rFonts w:ascii="Times New Roman" w:hAnsi="Times New Roman"/>
          <w:lang w:eastAsia="tr-TR"/>
        </w:rPr>
        <w:t xml:space="preserve">sayılı </w:t>
      </w:r>
      <w:r w:rsidR="00DF759F" w:rsidRPr="00DF759F">
        <w:rPr>
          <w:rFonts w:ascii="Times New Roman" w:hAnsi="Times New Roman"/>
          <w:lang w:eastAsia="tr-TR"/>
        </w:rPr>
        <w:t xml:space="preserve">İl İdaresi Kanunu </w:t>
      </w:r>
      <w:r w:rsidR="00DF759F">
        <w:rPr>
          <w:rFonts w:ascii="Times New Roman" w:hAnsi="Times New Roman"/>
          <w:lang w:eastAsia="tr-TR"/>
        </w:rPr>
        <w:t xml:space="preserve">hukuki dayanak olarak </w:t>
      </w:r>
      <w:r w:rsidR="00DF759F" w:rsidRPr="00DF759F">
        <w:rPr>
          <w:rFonts w:ascii="Times New Roman" w:hAnsi="Times New Roman"/>
          <w:lang w:eastAsia="tr-TR"/>
        </w:rPr>
        <w:t>gösteril</w:t>
      </w:r>
      <w:r w:rsidR="00DF759F">
        <w:rPr>
          <w:rFonts w:ascii="Times New Roman" w:hAnsi="Times New Roman"/>
          <w:lang w:eastAsia="tr-TR"/>
        </w:rPr>
        <w:t>miştir. Ne var ki,</w:t>
      </w:r>
      <w:r w:rsidR="00DF759F" w:rsidRPr="00DF759F">
        <w:rPr>
          <w:rFonts w:ascii="Times New Roman" w:hAnsi="Times New Roman"/>
          <w:lang w:eastAsia="tr-TR"/>
        </w:rPr>
        <w:t xml:space="preserve"> </w:t>
      </w:r>
      <w:r w:rsidR="00DF759F">
        <w:rPr>
          <w:rFonts w:ascii="Times New Roman" w:hAnsi="Times New Roman"/>
          <w:lang w:eastAsia="tr-TR"/>
        </w:rPr>
        <w:t xml:space="preserve">her iki düzenlemede de </w:t>
      </w:r>
      <w:r w:rsidR="00DF759F" w:rsidRPr="00DF759F">
        <w:rPr>
          <w:rFonts w:ascii="Times New Roman" w:hAnsi="Times New Roman"/>
          <w:lang w:eastAsia="tr-TR"/>
        </w:rPr>
        <w:t xml:space="preserve">belirli bir hastalık nedeniyle </w:t>
      </w:r>
      <w:r w:rsidR="00336E79">
        <w:rPr>
          <w:rFonts w:ascii="Times New Roman" w:hAnsi="Times New Roman"/>
          <w:lang w:eastAsia="tr-TR"/>
        </w:rPr>
        <w:t xml:space="preserve">yine </w:t>
      </w:r>
      <w:r w:rsidR="00DF759F" w:rsidRPr="00DF759F">
        <w:rPr>
          <w:rFonts w:ascii="Times New Roman" w:hAnsi="Times New Roman"/>
          <w:lang w:eastAsia="tr-TR"/>
        </w:rPr>
        <w:t xml:space="preserve">belirli bir yaş altı veya üstü kişilerin </w:t>
      </w:r>
      <w:r w:rsidR="00336E79">
        <w:rPr>
          <w:rFonts w:ascii="Times New Roman" w:hAnsi="Times New Roman"/>
          <w:lang w:eastAsia="tr-TR"/>
        </w:rPr>
        <w:t>yahut</w:t>
      </w:r>
      <w:r w:rsidR="00DF759F" w:rsidRPr="00DF759F">
        <w:rPr>
          <w:rFonts w:ascii="Times New Roman" w:hAnsi="Times New Roman"/>
          <w:lang w:eastAsia="tr-TR"/>
        </w:rPr>
        <w:t xml:space="preserve"> hafta sonlarında herkesin sokağa çıkmasının yasaklanmasına izin veren bir </w:t>
      </w:r>
      <w:r w:rsidR="00DF759F" w:rsidRPr="00DF759F">
        <w:rPr>
          <w:rFonts w:ascii="Times New Roman" w:hAnsi="Times New Roman"/>
          <w:lang w:eastAsia="tr-TR"/>
        </w:rPr>
        <w:lastRenderedPageBreak/>
        <w:t xml:space="preserve">hüküm </w:t>
      </w:r>
      <w:r w:rsidR="00DF759F">
        <w:rPr>
          <w:rFonts w:ascii="Times New Roman" w:hAnsi="Times New Roman"/>
          <w:lang w:eastAsia="tr-TR"/>
        </w:rPr>
        <w:t>yer almamaktadır</w:t>
      </w:r>
      <w:r w:rsidR="00DF759F">
        <w:rPr>
          <w:rStyle w:val="FootnoteReference"/>
          <w:rFonts w:ascii="Times New Roman" w:hAnsi="Times New Roman"/>
          <w:lang w:eastAsia="tr-TR"/>
        </w:rPr>
        <w:footnoteReference w:id="56"/>
      </w:r>
      <w:r w:rsidR="00DF759F" w:rsidRPr="00DF759F">
        <w:rPr>
          <w:rFonts w:ascii="Times New Roman" w:hAnsi="Times New Roman"/>
          <w:lang w:eastAsia="tr-TR"/>
        </w:rPr>
        <w:t>.</w:t>
      </w:r>
      <w:r>
        <w:rPr>
          <w:rFonts w:ascii="Times New Roman" w:hAnsi="Times New Roman"/>
          <w:lang w:eastAsia="tr-TR"/>
        </w:rPr>
        <w:t xml:space="preserve">  Üçüncü olarak, </w:t>
      </w:r>
      <w:r w:rsidRPr="004346F8">
        <w:rPr>
          <w:rFonts w:ascii="Times New Roman" w:hAnsi="Times New Roman"/>
          <w:lang w:eastAsia="tr-TR"/>
        </w:rPr>
        <w:t>25 Mart 2020 tarih</w:t>
      </w:r>
      <w:r>
        <w:rPr>
          <w:rFonts w:ascii="Times New Roman" w:hAnsi="Times New Roman"/>
          <w:lang w:eastAsia="tr-TR"/>
        </w:rPr>
        <w:t xml:space="preserve">li </w:t>
      </w:r>
      <w:r w:rsidRPr="004346F8">
        <w:rPr>
          <w:rFonts w:ascii="Times New Roman" w:hAnsi="Times New Roman"/>
          <w:lang w:eastAsia="tr-TR"/>
        </w:rPr>
        <w:t>ve 7226 sayılı Kanunun</w:t>
      </w:r>
      <w:r>
        <w:rPr>
          <w:rStyle w:val="FootnoteReference"/>
          <w:rFonts w:ascii="Times New Roman" w:hAnsi="Times New Roman"/>
          <w:lang w:eastAsia="tr-TR"/>
        </w:rPr>
        <w:footnoteReference w:id="57"/>
      </w:r>
      <w:r w:rsidRPr="004346F8">
        <w:rPr>
          <w:rFonts w:ascii="Times New Roman" w:hAnsi="Times New Roman"/>
          <w:lang w:eastAsia="tr-TR"/>
        </w:rPr>
        <w:t xml:space="preserve"> geçici 1 ve 2’nci maddelerinde öngörülen</w:t>
      </w:r>
      <w:r>
        <w:rPr>
          <w:rFonts w:ascii="Times New Roman" w:hAnsi="Times New Roman"/>
          <w:lang w:eastAsia="tr-TR"/>
        </w:rPr>
        <w:t xml:space="preserve"> ve</w:t>
      </w:r>
      <w:r w:rsidRPr="004346F8">
        <w:rPr>
          <w:rFonts w:ascii="Times New Roman" w:hAnsi="Times New Roman"/>
          <w:lang w:eastAsia="tr-TR"/>
        </w:rPr>
        <w:t xml:space="preserve"> yargı alanındaki hak kayıplarının önlenmesi amacıyla birtakım sürelerin durdurulması ya da ertelenmesine ilişkin hükümler </w:t>
      </w:r>
      <w:r>
        <w:rPr>
          <w:rFonts w:ascii="Times New Roman" w:hAnsi="Times New Roman"/>
          <w:lang w:eastAsia="tr-TR"/>
        </w:rPr>
        <w:t xml:space="preserve">ile </w:t>
      </w:r>
      <w:r w:rsidRPr="004346F8">
        <w:rPr>
          <w:rFonts w:ascii="Times New Roman" w:hAnsi="Times New Roman"/>
          <w:lang w:eastAsia="tr-TR"/>
        </w:rPr>
        <w:t>bazı alacakların ertelenmesi, uzaktan çalışma</w:t>
      </w:r>
      <w:r>
        <w:rPr>
          <w:rFonts w:ascii="Times New Roman" w:hAnsi="Times New Roman"/>
          <w:lang w:eastAsia="tr-TR"/>
        </w:rPr>
        <w:t xml:space="preserve"> ve bunlara ilişkin </w:t>
      </w:r>
      <w:r w:rsidRPr="004346F8">
        <w:rPr>
          <w:rFonts w:ascii="Times New Roman" w:hAnsi="Times New Roman"/>
          <w:lang w:eastAsia="tr-TR"/>
        </w:rPr>
        <w:t>süreler gibi konulara</w:t>
      </w:r>
      <w:r>
        <w:rPr>
          <w:rFonts w:ascii="Times New Roman" w:hAnsi="Times New Roman"/>
          <w:lang w:eastAsia="tr-TR"/>
        </w:rPr>
        <w:t xml:space="preserve"> yönelik </w:t>
      </w:r>
      <w:r w:rsidRPr="004346F8">
        <w:rPr>
          <w:rFonts w:ascii="Times New Roman" w:hAnsi="Times New Roman"/>
          <w:lang w:eastAsia="tr-TR"/>
        </w:rPr>
        <w:t>düzenlemeler</w:t>
      </w:r>
      <w:r>
        <w:rPr>
          <w:rFonts w:ascii="Times New Roman" w:hAnsi="Times New Roman"/>
          <w:lang w:eastAsia="tr-TR"/>
        </w:rPr>
        <w:t xml:space="preserve"> içeren </w:t>
      </w:r>
      <w:r w:rsidRPr="004346F8">
        <w:rPr>
          <w:rFonts w:ascii="Times New Roman" w:hAnsi="Times New Roman"/>
          <w:lang w:eastAsia="tr-TR"/>
        </w:rPr>
        <w:t>16 Nisan 2020 tarih</w:t>
      </w:r>
      <w:r>
        <w:rPr>
          <w:rFonts w:ascii="Times New Roman" w:hAnsi="Times New Roman"/>
          <w:lang w:eastAsia="tr-TR"/>
        </w:rPr>
        <w:t xml:space="preserve">li </w:t>
      </w:r>
      <w:r w:rsidRPr="004346F8">
        <w:rPr>
          <w:rFonts w:ascii="Times New Roman" w:hAnsi="Times New Roman"/>
          <w:lang w:eastAsia="tr-TR"/>
        </w:rPr>
        <w:t>ve 7244 sayılı Kanun</w:t>
      </w:r>
      <w:r>
        <w:rPr>
          <w:rStyle w:val="FootnoteReference"/>
          <w:rFonts w:ascii="Times New Roman" w:hAnsi="Times New Roman"/>
          <w:lang w:eastAsia="tr-TR"/>
        </w:rPr>
        <w:footnoteReference w:id="58"/>
      </w:r>
      <w:r w:rsidRPr="004346F8">
        <w:rPr>
          <w:rFonts w:ascii="Times New Roman" w:hAnsi="Times New Roman"/>
          <w:lang w:eastAsia="tr-TR"/>
        </w:rPr>
        <w:t xml:space="preserve"> ve</w:t>
      </w:r>
      <w:r>
        <w:rPr>
          <w:rFonts w:ascii="Times New Roman" w:hAnsi="Times New Roman"/>
          <w:lang w:eastAsia="tr-TR"/>
        </w:rPr>
        <w:t xml:space="preserve"> yine</w:t>
      </w:r>
      <w:r w:rsidRPr="004346F8">
        <w:rPr>
          <w:rFonts w:ascii="Times New Roman" w:hAnsi="Times New Roman"/>
          <w:lang w:eastAsia="tr-TR"/>
        </w:rPr>
        <w:t xml:space="preserve"> </w:t>
      </w:r>
      <w:r w:rsidR="00E95F25">
        <w:rPr>
          <w:rFonts w:ascii="Times New Roman" w:hAnsi="Times New Roman"/>
          <w:lang w:eastAsia="tr-TR"/>
        </w:rPr>
        <w:t xml:space="preserve">11 Kasım 2020 tarihli ve </w:t>
      </w:r>
      <w:r w:rsidR="00E95F25" w:rsidRPr="004346F8">
        <w:rPr>
          <w:rFonts w:ascii="Times New Roman" w:hAnsi="Times New Roman"/>
          <w:lang w:eastAsia="tr-TR"/>
        </w:rPr>
        <w:t xml:space="preserve">7256 sayılı </w:t>
      </w:r>
      <w:r w:rsidR="00E95F25">
        <w:rPr>
          <w:rFonts w:ascii="Times New Roman" w:hAnsi="Times New Roman"/>
          <w:lang w:eastAsia="tr-TR"/>
        </w:rPr>
        <w:t>K</w:t>
      </w:r>
      <w:r w:rsidRPr="004346F8">
        <w:rPr>
          <w:rFonts w:ascii="Times New Roman" w:hAnsi="Times New Roman"/>
          <w:lang w:eastAsia="tr-TR"/>
        </w:rPr>
        <w:t>anunla</w:t>
      </w:r>
      <w:r w:rsidR="00E95F25">
        <w:rPr>
          <w:rStyle w:val="FootnoteReference"/>
          <w:rFonts w:ascii="Times New Roman" w:hAnsi="Times New Roman"/>
          <w:lang w:eastAsia="tr-TR"/>
        </w:rPr>
        <w:footnoteReference w:id="59"/>
      </w:r>
      <w:r w:rsidRPr="004346F8">
        <w:rPr>
          <w:rFonts w:ascii="Times New Roman" w:hAnsi="Times New Roman"/>
          <w:lang w:eastAsia="tr-TR"/>
        </w:rPr>
        <w:t xml:space="preserve"> öngörülen tedbirler </w:t>
      </w:r>
      <w:r w:rsidR="00E95F25">
        <w:rPr>
          <w:rFonts w:ascii="Times New Roman" w:hAnsi="Times New Roman"/>
          <w:lang w:eastAsia="tr-TR"/>
        </w:rPr>
        <w:t>hukuki</w:t>
      </w:r>
      <w:r w:rsidRPr="004346F8">
        <w:rPr>
          <w:rFonts w:ascii="Times New Roman" w:hAnsi="Times New Roman"/>
          <w:lang w:eastAsia="tr-TR"/>
        </w:rPr>
        <w:t xml:space="preserve"> dayanak</w:t>
      </w:r>
      <w:r w:rsidR="00336E79">
        <w:rPr>
          <w:rFonts w:ascii="Times New Roman" w:hAnsi="Times New Roman"/>
          <w:lang w:eastAsia="tr-TR"/>
        </w:rPr>
        <w:t>lar</w:t>
      </w:r>
      <w:r w:rsidRPr="004346F8">
        <w:rPr>
          <w:rFonts w:ascii="Times New Roman" w:hAnsi="Times New Roman"/>
          <w:lang w:eastAsia="tr-TR"/>
        </w:rPr>
        <w:t xml:space="preserve"> olarak</w:t>
      </w:r>
      <w:r w:rsidR="00E95F25">
        <w:rPr>
          <w:rFonts w:ascii="Times New Roman" w:hAnsi="Times New Roman"/>
          <w:lang w:eastAsia="tr-TR"/>
        </w:rPr>
        <w:t xml:space="preserve"> gösterilmektedir</w:t>
      </w:r>
      <w:r w:rsidRPr="004346F8">
        <w:rPr>
          <w:rFonts w:ascii="Times New Roman" w:hAnsi="Times New Roman"/>
          <w:lang w:eastAsia="tr-TR"/>
        </w:rPr>
        <w:t>.</w:t>
      </w:r>
    </w:p>
    <w:p w14:paraId="1A4E744F" w14:textId="1E99CD3C" w:rsidR="0011629E" w:rsidRDefault="005E3902" w:rsidP="00503EB4">
      <w:pPr>
        <w:jc w:val="both"/>
        <w:rPr>
          <w:rFonts w:ascii="Times New Roman" w:hAnsi="Times New Roman"/>
          <w:lang w:eastAsia="tr-TR"/>
        </w:rPr>
      </w:pPr>
      <w:r>
        <w:rPr>
          <w:rFonts w:ascii="Times New Roman" w:hAnsi="Times New Roman"/>
          <w:lang w:eastAsia="tr-TR"/>
        </w:rPr>
        <w:tab/>
        <w:t xml:space="preserve">Türkiye’de </w:t>
      </w:r>
      <w:r w:rsidR="00336E79">
        <w:rPr>
          <w:rFonts w:ascii="Times New Roman" w:hAnsi="Times New Roman"/>
          <w:lang w:eastAsia="tr-TR"/>
        </w:rPr>
        <w:t xml:space="preserve">temel hak ve özgürlüklere ilişkin </w:t>
      </w:r>
      <w:r>
        <w:rPr>
          <w:rFonts w:ascii="Times New Roman" w:hAnsi="Times New Roman"/>
          <w:lang w:eastAsia="tr-TR"/>
        </w:rPr>
        <w:t>en çok tartışılan konular</w:t>
      </w:r>
      <w:r w:rsidR="0011629E">
        <w:rPr>
          <w:rFonts w:ascii="Times New Roman" w:hAnsi="Times New Roman"/>
          <w:lang w:eastAsia="tr-TR"/>
        </w:rPr>
        <w:t>dan bir</w:t>
      </w:r>
      <w:r w:rsidR="00336E79">
        <w:rPr>
          <w:rFonts w:ascii="Times New Roman" w:hAnsi="Times New Roman"/>
          <w:lang w:eastAsia="tr-TR"/>
        </w:rPr>
        <w:t>i s</w:t>
      </w:r>
      <w:r>
        <w:rPr>
          <w:rFonts w:ascii="Times New Roman" w:hAnsi="Times New Roman"/>
          <w:lang w:eastAsia="tr-TR"/>
        </w:rPr>
        <w:t>okağa çıkma kısıtlama</w:t>
      </w:r>
      <w:r w:rsidR="0011629E">
        <w:rPr>
          <w:rFonts w:ascii="Times New Roman" w:hAnsi="Times New Roman"/>
          <w:lang w:eastAsia="tr-TR"/>
        </w:rPr>
        <w:t xml:space="preserve">ları </w:t>
      </w:r>
      <w:r>
        <w:rPr>
          <w:rFonts w:ascii="Times New Roman" w:hAnsi="Times New Roman"/>
          <w:lang w:eastAsia="tr-TR"/>
        </w:rPr>
        <w:t>ve bu kapsamda yaşa dayalı farklı uygulamalar</w:t>
      </w:r>
      <w:r w:rsidR="0011629E">
        <w:rPr>
          <w:rFonts w:ascii="Times New Roman" w:hAnsi="Times New Roman"/>
          <w:lang w:eastAsia="tr-TR"/>
        </w:rPr>
        <w:t>dır</w:t>
      </w:r>
      <w:r>
        <w:rPr>
          <w:rFonts w:ascii="Times New Roman" w:hAnsi="Times New Roman"/>
          <w:lang w:eastAsia="tr-TR"/>
        </w:rPr>
        <w:t>. Daha önce Türkiye’nin güneydoğu bölgesinde uygulanan s</w:t>
      </w:r>
      <w:r w:rsidRPr="005E3902">
        <w:rPr>
          <w:rFonts w:ascii="Times New Roman" w:hAnsi="Times New Roman"/>
          <w:lang w:eastAsia="tr-TR"/>
        </w:rPr>
        <w:t>okağa çıkma kısıtlamaları ile ilgili</w:t>
      </w:r>
      <w:r>
        <w:rPr>
          <w:rFonts w:ascii="Times New Roman" w:hAnsi="Times New Roman"/>
          <w:lang w:eastAsia="tr-TR"/>
        </w:rPr>
        <w:t xml:space="preserve"> </w:t>
      </w:r>
      <w:r w:rsidRPr="005E3902">
        <w:rPr>
          <w:rFonts w:ascii="Times New Roman" w:hAnsi="Times New Roman"/>
          <w:lang w:eastAsia="tr-TR"/>
        </w:rPr>
        <w:t xml:space="preserve">hazırladığı raporda Venedik Komisyonu da </w:t>
      </w:r>
      <w:r>
        <w:rPr>
          <w:rFonts w:ascii="Times New Roman" w:hAnsi="Times New Roman"/>
          <w:lang w:eastAsia="tr-TR"/>
        </w:rPr>
        <w:t xml:space="preserve">bu uygulamayı </w:t>
      </w:r>
      <w:r w:rsidRPr="005E3902">
        <w:rPr>
          <w:rFonts w:ascii="Times New Roman" w:hAnsi="Times New Roman"/>
          <w:lang w:eastAsia="tr-TR"/>
        </w:rPr>
        <w:t>eleştir</w:t>
      </w:r>
      <w:r>
        <w:rPr>
          <w:rFonts w:ascii="Times New Roman" w:hAnsi="Times New Roman"/>
          <w:lang w:eastAsia="tr-TR"/>
        </w:rPr>
        <w:t>miştir.</w:t>
      </w:r>
      <w:r w:rsidRPr="005E3902">
        <w:rPr>
          <w:rFonts w:ascii="Times New Roman" w:hAnsi="Times New Roman"/>
          <w:lang w:eastAsia="tr-TR"/>
        </w:rPr>
        <w:t xml:space="preserve"> Komisyon</w:t>
      </w:r>
      <w:r>
        <w:rPr>
          <w:rFonts w:ascii="Times New Roman" w:hAnsi="Times New Roman"/>
          <w:lang w:eastAsia="tr-TR"/>
        </w:rPr>
        <w:t xml:space="preserve">’a </w:t>
      </w:r>
      <w:r w:rsidRPr="005E3902">
        <w:rPr>
          <w:rFonts w:ascii="Times New Roman" w:hAnsi="Times New Roman"/>
          <w:lang w:eastAsia="tr-TR"/>
        </w:rPr>
        <w:t>göre</w:t>
      </w:r>
      <w:r>
        <w:rPr>
          <w:rFonts w:ascii="Times New Roman" w:hAnsi="Times New Roman"/>
          <w:lang w:eastAsia="tr-TR"/>
        </w:rPr>
        <w:t xml:space="preserve">, </w:t>
      </w:r>
      <w:r w:rsidRPr="005E3902">
        <w:rPr>
          <w:rFonts w:ascii="Times New Roman" w:hAnsi="Times New Roman"/>
          <w:lang w:eastAsia="tr-TR"/>
        </w:rPr>
        <w:t xml:space="preserve">sokağa çıkma kısıtlamalarının dayanağı olan </w:t>
      </w:r>
      <w:r>
        <w:rPr>
          <w:rFonts w:ascii="Times New Roman" w:hAnsi="Times New Roman"/>
          <w:lang w:eastAsia="tr-TR"/>
        </w:rPr>
        <w:t xml:space="preserve">İl İdaresi Kanunu </w:t>
      </w:r>
      <w:r w:rsidRPr="005E3902">
        <w:rPr>
          <w:rFonts w:ascii="Times New Roman" w:hAnsi="Times New Roman"/>
          <w:lang w:eastAsia="tr-TR"/>
        </w:rPr>
        <w:t>ile kısıtlamaya</w:t>
      </w:r>
      <w:r>
        <w:rPr>
          <w:rFonts w:ascii="Times New Roman" w:hAnsi="Times New Roman"/>
          <w:lang w:eastAsia="tr-TR"/>
        </w:rPr>
        <w:t xml:space="preserve"> </w:t>
      </w:r>
      <w:r w:rsidRPr="005E3902">
        <w:rPr>
          <w:rFonts w:ascii="Times New Roman" w:hAnsi="Times New Roman"/>
          <w:lang w:eastAsia="tr-TR"/>
        </w:rPr>
        <w:t xml:space="preserve">ilişkin </w:t>
      </w:r>
      <w:r>
        <w:rPr>
          <w:rFonts w:ascii="Times New Roman" w:hAnsi="Times New Roman"/>
          <w:lang w:eastAsia="tr-TR"/>
        </w:rPr>
        <w:t xml:space="preserve">diğer </w:t>
      </w:r>
      <w:r w:rsidRPr="005E3902">
        <w:rPr>
          <w:rFonts w:ascii="Times New Roman" w:hAnsi="Times New Roman"/>
          <w:lang w:eastAsia="tr-TR"/>
        </w:rPr>
        <w:t>kararlar, Türkiye’nin 1982 Anayasası ve Avrupa İnsan Hakları Sözleşmesi</w:t>
      </w:r>
      <w:r>
        <w:rPr>
          <w:rFonts w:ascii="Times New Roman" w:hAnsi="Times New Roman"/>
          <w:lang w:eastAsia="tr-TR"/>
        </w:rPr>
        <w:t xml:space="preserve"> </w:t>
      </w:r>
      <w:r w:rsidRPr="005E3902">
        <w:rPr>
          <w:rFonts w:ascii="Times New Roman" w:hAnsi="Times New Roman"/>
          <w:lang w:eastAsia="tr-TR"/>
        </w:rPr>
        <w:t xml:space="preserve">başta olmak üzere temel hak ve </w:t>
      </w:r>
      <w:r>
        <w:rPr>
          <w:rFonts w:ascii="Times New Roman" w:hAnsi="Times New Roman"/>
          <w:lang w:eastAsia="tr-TR"/>
        </w:rPr>
        <w:t xml:space="preserve">özgürlüklere </w:t>
      </w:r>
      <w:r w:rsidRPr="005E3902">
        <w:rPr>
          <w:rFonts w:ascii="Times New Roman" w:hAnsi="Times New Roman"/>
          <w:lang w:eastAsia="tr-TR"/>
        </w:rPr>
        <w:t>ilişkin uluslararası yükümlülüklerinde</w:t>
      </w:r>
      <w:r>
        <w:rPr>
          <w:rFonts w:ascii="Times New Roman" w:hAnsi="Times New Roman"/>
          <w:lang w:eastAsia="tr-TR"/>
        </w:rPr>
        <w:t xml:space="preserve"> </w:t>
      </w:r>
      <w:r w:rsidRPr="005E3902">
        <w:rPr>
          <w:rFonts w:ascii="Times New Roman" w:hAnsi="Times New Roman"/>
          <w:lang w:eastAsia="tr-TR"/>
        </w:rPr>
        <w:t>yer alan kanunilik ilkesinin gereklerini karşılamamaktadır</w:t>
      </w:r>
      <w:r>
        <w:rPr>
          <w:rStyle w:val="FootnoteReference"/>
          <w:rFonts w:ascii="Times New Roman" w:hAnsi="Times New Roman"/>
          <w:lang w:eastAsia="tr-TR"/>
        </w:rPr>
        <w:footnoteReference w:id="60"/>
      </w:r>
      <w:r>
        <w:rPr>
          <w:rFonts w:ascii="Times New Roman" w:hAnsi="Times New Roman"/>
          <w:lang w:eastAsia="tr-TR"/>
        </w:rPr>
        <w:t>.</w:t>
      </w:r>
      <w:r w:rsidR="0011629E">
        <w:rPr>
          <w:rFonts w:ascii="Times New Roman" w:hAnsi="Times New Roman"/>
          <w:lang w:eastAsia="tr-TR"/>
        </w:rPr>
        <w:t xml:space="preserve"> Öğretide de s</w:t>
      </w:r>
      <w:r w:rsidR="0011629E" w:rsidRPr="004346F8">
        <w:rPr>
          <w:rFonts w:ascii="Times New Roman" w:hAnsi="Times New Roman"/>
          <w:lang w:eastAsia="tr-TR"/>
        </w:rPr>
        <w:t>ınırlama getirilen haklara ilişkin</w:t>
      </w:r>
      <w:r w:rsidR="0011629E">
        <w:rPr>
          <w:rFonts w:ascii="Times New Roman" w:hAnsi="Times New Roman"/>
          <w:lang w:eastAsia="tr-TR"/>
        </w:rPr>
        <w:t xml:space="preserve">, söz konusu </w:t>
      </w:r>
      <w:r w:rsidR="0011629E" w:rsidRPr="004346F8">
        <w:rPr>
          <w:rFonts w:ascii="Times New Roman" w:hAnsi="Times New Roman"/>
          <w:lang w:eastAsia="tr-TR"/>
        </w:rPr>
        <w:t>hak</w:t>
      </w:r>
      <w:r w:rsidR="0011629E">
        <w:rPr>
          <w:rFonts w:ascii="Times New Roman" w:hAnsi="Times New Roman"/>
          <w:lang w:eastAsia="tr-TR"/>
        </w:rPr>
        <w:t xml:space="preserve">kın anayasal güvenceye alındığı </w:t>
      </w:r>
      <w:r w:rsidR="0011629E" w:rsidRPr="004346F8">
        <w:rPr>
          <w:rFonts w:ascii="Times New Roman" w:hAnsi="Times New Roman"/>
          <w:lang w:eastAsia="tr-TR"/>
        </w:rPr>
        <w:t>madde</w:t>
      </w:r>
      <w:r w:rsidR="0011629E">
        <w:rPr>
          <w:rFonts w:ascii="Times New Roman" w:hAnsi="Times New Roman"/>
          <w:lang w:eastAsia="tr-TR"/>
        </w:rPr>
        <w:t xml:space="preserve">de genel </w:t>
      </w:r>
      <w:r w:rsidR="0011629E" w:rsidRPr="004346F8">
        <w:rPr>
          <w:rFonts w:ascii="Times New Roman" w:hAnsi="Times New Roman"/>
          <w:lang w:eastAsia="tr-TR"/>
        </w:rPr>
        <w:t xml:space="preserve">sağlık </w:t>
      </w:r>
      <w:r w:rsidR="0011629E">
        <w:rPr>
          <w:rFonts w:ascii="Times New Roman" w:hAnsi="Times New Roman"/>
          <w:lang w:eastAsia="tr-TR"/>
        </w:rPr>
        <w:t>nedeninin bir sınırlama nedeni olarak öngörülmediği gerekçesiyle A</w:t>
      </w:r>
      <w:r w:rsidR="0011629E" w:rsidRPr="004346F8">
        <w:rPr>
          <w:rFonts w:ascii="Times New Roman" w:hAnsi="Times New Roman"/>
          <w:lang w:eastAsia="tr-TR"/>
        </w:rPr>
        <w:t>nayasaya aykırı</w:t>
      </w:r>
      <w:r w:rsidR="0011629E">
        <w:rPr>
          <w:rFonts w:ascii="Times New Roman" w:hAnsi="Times New Roman"/>
          <w:lang w:eastAsia="tr-TR"/>
        </w:rPr>
        <w:t xml:space="preserve">lığı </w:t>
      </w:r>
      <w:r w:rsidR="0011629E" w:rsidRPr="004346F8">
        <w:rPr>
          <w:rFonts w:ascii="Times New Roman" w:hAnsi="Times New Roman"/>
          <w:lang w:eastAsia="tr-TR"/>
        </w:rPr>
        <w:t>tartışıl</w:t>
      </w:r>
      <w:r w:rsidR="0011629E">
        <w:rPr>
          <w:rFonts w:ascii="Times New Roman" w:hAnsi="Times New Roman"/>
          <w:lang w:eastAsia="tr-TR"/>
        </w:rPr>
        <w:t xml:space="preserve">maktadır. Ne var ki, </w:t>
      </w:r>
      <w:r w:rsidR="0011629E" w:rsidRPr="004346F8">
        <w:rPr>
          <w:rFonts w:ascii="Times New Roman" w:hAnsi="Times New Roman"/>
          <w:lang w:eastAsia="tr-TR"/>
        </w:rPr>
        <w:t xml:space="preserve">bu </w:t>
      </w:r>
      <w:r w:rsidR="0011629E">
        <w:rPr>
          <w:rFonts w:ascii="Times New Roman" w:hAnsi="Times New Roman"/>
          <w:lang w:eastAsia="tr-TR"/>
        </w:rPr>
        <w:t xml:space="preserve">tartışma, </w:t>
      </w:r>
      <w:r w:rsidR="0011629E" w:rsidRPr="004346F8">
        <w:rPr>
          <w:rFonts w:ascii="Times New Roman" w:hAnsi="Times New Roman"/>
          <w:lang w:eastAsia="tr-TR"/>
        </w:rPr>
        <w:t>hakların sınırlanmasına ilişkin nesnel nedenler</w:t>
      </w:r>
      <w:r w:rsidR="0011629E">
        <w:rPr>
          <w:rFonts w:ascii="Times New Roman" w:hAnsi="Times New Roman"/>
          <w:lang w:eastAsia="tr-TR"/>
        </w:rPr>
        <w:t xml:space="preserve"> </w:t>
      </w:r>
      <w:r w:rsidR="0011629E" w:rsidRPr="004346F8">
        <w:rPr>
          <w:rFonts w:ascii="Times New Roman" w:hAnsi="Times New Roman"/>
          <w:lang w:eastAsia="tr-TR"/>
        </w:rPr>
        <w:t>başlıklı farklı bir tartışma</w:t>
      </w:r>
      <w:r w:rsidR="0011629E">
        <w:rPr>
          <w:rFonts w:ascii="Times New Roman" w:hAnsi="Times New Roman"/>
          <w:lang w:eastAsia="tr-TR"/>
        </w:rPr>
        <w:t xml:space="preserve">nın </w:t>
      </w:r>
      <w:r w:rsidR="0011629E" w:rsidRPr="004346F8">
        <w:rPr>
          <w:rFonts w:ascii="Times New Roman" w:hAnsi="Times New Roman"/>
          <w:lang w:eastAsia="tr-TR"/>
        </w:rPr>
        <w:t>konusu</w:t>
      </w:r>
      <w:r w:rsidR="0011629E">
        <w:rPr>
          <w:rFonts w:ascii="Times New Roman" w:hAnsi="Times New Roman"/>
          <w:lang w:eastAsia="tr-TR"/>
        </w:rPr>
        <w:t xml:space="preserve">dur ve </w:t>
      </w:r>
      <w:r w:rsidR="0011629E" w:rsidRPr="004346F8">
        <w:rPr>
          <w:rFonts w:ascii="Times New Roman" w:hAnsi="Times New Roman"/>
          <w:lang w:eastAsia="tr-TR"/>
        </w:rPr>
        <w:t xml:space="preserve">öğretide genel olarak benimsenen görüşe göre, soyut ve içeriksiz bir temel hak ve özgürlük </w:t>
      </w:r>
      <w:r w:rsidR="0011629E">
        <w:rPr>
          <w:rFonts w:ascii="Times New Roman" w:hAnsi="Times New Roman"/>
          <w:lang w:eastAsia="tr-TR"/>
        </w:rPr>
        <w:t>olmadığı gibi t</w:t>
      </w:r>
      <w:r w:rsidR="0011629E" w:rsidRPr="004346F8">
        <w:rPr>
          <w:rFonts w:ascii="Times New Roman" w:hAnsi="Times New Roman"/>
          <w:lang w:eastAsia="tr-TR"/>
        </w:rPr>
        <w:t>emel hak ve özgürlükler</w:t>
      </w:r>
      <w:r w:rsidR="0011629E">
        <w:rPr>
          <w:rFonts w:ascii="Times New Roman" w:hAnsi="Times New Roman"/>
          <w:lang w:eastAsia="tr-TR"/>
        </w:rPr>
        <w:t xml:space="preserve"> </w:t>
      </w:r>
      <w:r w:rsidR="0011629E" w:rsidRPr="004346F8">
        <w:rPr>
          <w:rFonts w:ascii="Times New Roman" w:hAnsi="Times New Roman"/>
          <w:lang w:eastAsia="tr-TR"/>
        </w:rPr>
        <w:t>yasal düzenleme ya da sınırlama olmasa da sınırsız bir kullanım olanağı sağlamaz</w:t>
      </w:r>
      <w:r w:rsidR="0011629E">
        <w:rPr>
          <w:rFonts w:ascii="Times New Roman" w:hAnsi="Times New Roman"/>
          <w:lang w:eastAsia="tr-TR"/>
        </w:rPr>
        <w:t>lar</w:t>
      </w:r>
      <w:r w:rsidR="0011629E">
        <w:rPr>
          <w:rStyle w:val="FootnoteReference"/>
          <w:rFonts w:ascii="Times New Roman" w:hAnsi="Times New Roman"/>
          <w:lang w:eastAsia="tr-TR"/>
        </w:rPr>
        <w:footnoteReference w:id="61"/>
      </w:r>
      <w:r w:rsidR="0011629E" w:rsidRPr="004346F8">
        <w:rPr>
          <w:rFonts w:ascii="Times New Roman" w:hAnsi="Times New Roman"/>
          <w:lang w:eastAsia="tr-TR"/>
        </w:rPr>
        <w:t xml:space="preserve">. </w:t>
      </w:r>
      <w:r w:rsidR="0011629E">
        <w:rPr>
          <w:rFonts w:ascii="Times New Roman" w:hAnsi="Times New Roman"/>
          <w:lang w:eastAsia="tr-TR"/>
        </w:rPr>
        <w:t>Her hak, n</w:t>
      </w:r>
      <w:r w:rsidR="0011629E" w:rsidRPr="004346F8">
        <w:rPr>
          <w:rFonts w:ascii="Times New Roman" w:hAnsi="Times New Roman"/>
          <w:lang w:eastAsia="tr-TR"/>
        </w:rPr>
        <w:t>esnel içeri</w:t>
      </w:r>
      <w:r w:rsidR="0011629E">
        <w:rPr>
          <w:rFonts w:ascii="Times New Roman" w:hAnsi="Times New Roman"/>
          <w:lang w:eastAsia="tr-TR"/>
        </w:rPr>
        <w:t xml:space="preserve">ği </w:t>
      </w:r>
      <w:r w:rsidR="0011629E" w:rsidRPr="004346F8">
        <w:rPr>
          <w:rFonts w:ascii="Times New Roman" w:hAnsi="Times New Roman"/>
          <w:lang w:eastAsia="tr-TR"/>
        </w:rPr>
        <w:t>ve koruma alan</w:t>
      </w:r>
      <w:r w:rsidR="0011629E">
        <w:rPr>
          <w:rFonts w:ascii="Times New Roman" w:hAnsi="Times New Roman"/>
          <w:lang w:eastAsia="tr-TR"/>
        </w:rPr>
        <w:t xml:space="preserve">ı </w:t>
      </w:r>
      <w:r w:rsidR="0011629E" w:rsidRPr="004346F8">
        <w:rPr>
          <w:rFonts w:ascii="Times New Roman" w:hAnsi="Times New Roman"/>
          <w:lang w:eastAsia="tr-TR"/>
        </w:rPr>
        <w:t xml:space="preserve">ile sınırlı </w:t>
      </w:r>
      <w:r w:rsidR="0011629E">
        <w:rPr>
          <w:rFonts w:ascii="Times New Roman" w:hAnsi="Times New Roman"/>
          <w:lang w:eastAsia="tr-TR"/>
        </w:rPr>
        <w:t xml:space="preserve">olan </w:t>
      </w:r>
      <w:r w:rsidR="0011629E" w:rsidRPr="004346F8">
        <w:rPr>
          <w:rFonts w:ascii="Times New Roman" w:hAnsi="Times New Roman"/>
          <w:lang w:eastAsia="tr-TR"/>
        </w:rPr>
        <w:t>bir kullanıma izin verir</w:t>
      </w:r>
      <w:r w:rsidR="0011629E">
        <w:rPr>
          <w:rFonts w:ascii="Times New Roman" w:hAnsi="Times New Roman"/>
          <w:lang w:eastAsia="tr-TR"/>
        </w:rPr>
        <w:t xml:space="preserve"> ve bu nedenle h</w:t>
      </w:r>
      <w:r w:rsidR="0011629E" w:rsidRPr="004346F8">
        <w:rPr>
          <w:rFonts w:ascii="Times New Roman" w:hAnsi="Times New Roman"/>
          <w:lang w:eastAsia="tr-TR"/>
        </w:rPr>
        <w:t>er hak ve özgürlüğün Anayasa</w:t>
      </w:r>
      <w:r w:rsidR="0011629E">
        <w:rPr>
          <w:rFonts w:ascii="Times New Roman" w:hAnsi="Times New Roman"/>
          <w:lang w:eastAsia="tr-TR"/>
        </w:rPr>
        <w:t>’</w:t>
      </w:r>
      <w:r w:rsidR="0011629E" w:rsidRPr="004346F8">
        <w:rPr>
          <w:rFonts w:ascii="Times New Roman" w:hAnsi="Times New Roman"/>
          <w:lang w:eastAsia="tr-TR"/>
        </w:rPr>
        <w:t xml:space="preserve">da belirtilmiş olmasa </w:t>
      </w:r>
      <w:r w:rsidR="0011629E">
        <w:rPr>
          <w:rFonts w:ascii="Times New Roman" w:hAnsi="Times New Roman"/>
          <w:lang w:eastAsia="tr-TR"/>
        </w:rPr>
        <w:t xml:space="preserve">dahi </w:t>
      </w:r>
      <w:r w:rsidR="0011629E" w:rsidRPr="004346F8">
        <w:rPr>
          <w:rFonts w:ascii="Times New Roman" w:hAnsi="Times New Roman"/>
          <w:lang w:eastAsia="tr-TR"/>
        </w:rPr>
        <w:t xml:space="preserve">o </w:t>
      </w:r>
      <w:r w:rsidR="0011629E">
        <w:rPr>
          <w:rFonts w:ascii="Times New Roman" w:hAnsi="Times New Roman"/>
          <w:lang w:eastAsia="tr-TR"/>
        </w:rPr>
        <w:t xml:space="preserve">hak ve </w:t>
      </w:r>
      <w:r w:rsidR="0011629E" w:rsidRPr="004346F8">
        <w:rPr>
          <w:rFonts w:ascii="Times New Roman" w:hAnsi="Times New Roman"/>
          <w:lang w:eastAsia="tr-TR"/>
        </w:rPr>
        <w:t xml:space="preserve">özgürlüğün niteliğinden </w:t>
      </w:r>
      <w:r w:rsidR="0011629E">
        <w:rPr>
          <w:rFonts w:ascii="Times New Roman" w:hAnsi="Times New Roman"/>
          <w:lang w:eastAsia="tr-TR"/>
        </w:rPr>
        <w:t>kaynaklanan nesnel sınırları vardır</w:t>
      </w:r>
      <w:r w:rsidR="0011629E">
        <w:rPr>
          <w:rStyle w:val="FootnoteReference"/>
          <w:rFonts w:ascii="Times New Roman" w:hAnsi="Times New Roman"/>
          <w:lang w:eastAsia="tr-TR"/>
        </w:rPr>
        <w:footnoteReference w:id="62"/>
      </w:r>
      <w:r w:rsidR="0011629E">
        <w:rPr>
          <w:rFonts w:ascii="Times New Roman" w:hAnsi="Times New Roman"/>
          <w:lang w:eastAsia="tr-TR"/>
        </w:rPr>
        <w:t xml:space="preserve">. Genel sağlık hakkını da bu kapsamda düşünmek önemlidir. Bu çerçevede, diğer hakların salgın </w:t>
      </w:r>
      <w:r w:rsidR="0011629E" w:rsidRPr="005E3902">
        <w:rPr>
          <w:rFonts w:ascii="Times New Roman" w:hAnsi="Times New Roman"/>
          <w:lang w:eastAsia="tr-TR"/>
        </w:rPr>
        <w:t>hastalık</w:t>
      </w:r>
      <w:r w:rsidR="0011629E">
        <w:rPr>
          <w:rFonts w:ascii="Times New Roman" w:hAnsi="Times New Roman"/>
          <w:lang w:eastAsia="tr-TR"/>
        </w:rPr>
        <w:t xml:space="preserve"> </w:t>
      </w:r>
      <w:r w:rsidR="0011629E" w:rsidRPr="005E3902">
        <w:rPr>
          <w:rFonts w:ascii="Times New Roman" w:hAnsi="Times New Roman"/>
          <w:lang w:eastAsia="tr-TR"/>
        </w:rPr>
        <w:t>tehlikesinin geçmesine kadar sınırlandırılab</w:t>
      </w:r>
      <w:r w:rsidR="0011629E">
        <w:rPr>
          <w:rFonts w:ascii="Times New Roman" w:hAnsi="Times New Roman"/>
          <w:lang w:eastAsia="tr-TR"/>
        </w:rPr>
        <w:t>ileceğini ve özellikle ö</w:t>
      </w:r>
      <w:r w:rsidR="0011629E" w:rsidRPr="00E95F25">
        <w:rPr>
          <w:rFonts w:ascii="Times New Roman" w:hAnsi="Times New Roman"/>
          <w:lang w:eastAsia="tr-TR"/>
        </w:rPr>
        <w:t>lümcül salgınlar açısından başkalarının yaşam hakkını güvenceye</w:t>
      </w:r>
      <w:r w:rsidR="0011629E">
        <w:rPr>
          <w:rFonts w:ascii="Times New Roman" w:hAnsi="Times New Roman"/>
          <w:lang w:eastAsia="tr-TR"/>
        </w:rPr>
        <w:t xml:space="preserve"> </w:t>
      </w:r>
      <w:r w:rsidR="0011629E" w:rsidRPr="00E95F25">
        <w:rPr>
          <w:rFonts w:ascii="Times New Roman" w:hAnsi="Times New Roman"/>
          <w:lang w:eastAsia="tr-TR"/>
        </w:rPr>
        <w:t xml:space="preserve">alması bakımından da </w:t>
      </w:r>
      <w:r w:rsidR="0011629E">
        <w:rPr>
          <w:rFonts w:ascii="Times New Roman" w:hAnsi="Times New Roman"/>
          <w:lang w:eastAsia="tr-TR"/>
        </w:rPr>
        <w:t xml:space="preserve">bu sınırlamanın </w:t>
      </w:r>
      <w:r w:rsidR="0011629E" w:rsidRPr="00E95F25">
        <w:rPr>
          <w:rFonts w:ascii="Times New Roman" w:hAnsi="Times New Roman"/>
          <w:lang w:eastAsia="tr-TR"/>
        </w:rPr>
        <w:t>gerekli</w:t>
      </w:r>
      <w:r w:rsidR="0011629E">
        <w:rPr>
          <w:rFonts w:ascii="Times New Roman" w:hAnsi="Times New Roman"/>
          <w:lang w:eastAsia="tr-TR"/>
        </w:rPr>
        <w:t xml:space="preserve"> olduğunu ifade etmek mümkündür</w:t>
      </w:r>
      <w:r w:rsidR="0011629E">
        <w:rPr>
          <w:rStyle w:val="FootnoteReference"/>
          <w:rFonts w:ascii="Times New Roman" w:hAnsi="Times New Roman"/>
          <w:lang w:eastAsia="tr-TR"/>
        </w:rPr>
        <w:footnoteReference w:id="63"/>
      </w:r>
      <w:r w:rsidR="0011629E">
        <w:rPr>
          <w:rFonts w:ascii="Times New Roman" w:hAnsi="Times New Roman"/>
          <w:lang w:eastAsia="tr-TR"/>
        </w:rPr>
        <w:t xml:space="preserve">. </w:t>
      </w:r>
      <w:r w:rsidR="00967312">
        <w:rPr>
          <w:rFonts w:ascii="Times New Roman" w:hAnsi="Times New Roman"/>
          <w:lang w:eastAsia="tr-TR"/>
        </w:rPr>
        <w:t xml:space="preserve">AİHM de sokağa çıkma kısıtlamalarına ilişkin her somut olayın kendi gerçekliğinde değerlendirilmesi gerektiğini söyledikten sonra, hafta içi belirli saatler arasında veya hafta sonları tamamen uygulanan bir sokağa çıkma yasağının </w:t>
      </w:r>
      <w:proofErr w:type="spellStart"/>
      <w:r w:rsidR="00967312">
        <w:rPr>
          <w:rFonts w:ascii="Times New Roman" w:hAnsi="Times New Roman"/>
          <w:lang w:eastAsia="tr-TR"/>
        </w:rPr>
        <w:t>Sözleşme’yi</w:t>
      </w:r>
      <w:proofErr w:type="spellEnd"/>
      <w:r w:rsidR="00967312">
        <w:rPr>
          <w:rFonts w:ascii="Times New Roman" w:hAnsi="Times New Roman"/>
          <w:lang w:eastAsia="tr-TR"/>
        </w:rPr>
        <w:t xml:space="preserve"> ihlal etmeyebileceğini ifade etmektedir</w:t>
      </w:r>
      <w:r w:rsidR="00967312">
        <w:rPr>
          <w:rStyle w:val="FootnoteReference"/>
          <w:rFonts w:ascii="Times New Roman" w:hAnsi="Times New Roman"/>
          <w:lang w:eastAsia="tr-TR"/>
        </w:rPr>
        <w:footnoteReference w:id="64"/>
      </w:r>
      <w:r w:rsidR="00967312">
        <w:rPr>
          <w:rFonts w:ascii="Times New Roman" w:hAnsi="Times New Roman"/>
          <w:lang w:eastAsia="tr-TR"/>
        </w:rPr>
        <w:t xml:space="preserve">. Bu çerçevede, Covid-19 salgını gibi evrensel etkileri olan bir </w:t>
      </w:r>
      <w:proofErr w:type="spellStart"/>
      <w:r w:rsidR="00967312">
        <w:rPr>
          <w:rFonts w:ascii="Times New Roman" w:hAnsi="Times New Roman"/>
          <w:lang w:eastAsia="tr-TR"/>
        </w:rPr>
        <w:t>pandemide</w:t>
      </w:r>
      <w:proofErr w:type="spellEnd"/>
      <w:r w:rsidR="00967312">
        <w:rPr>
          <w:rFonts w:ascii="Times New Roman" w:hAnsi="Times New Roman"/>
          <w:lang w:eastAsia="tr-TR"/>
        </w:rPr>
        <w:t xml:space="preserve"> sokağa çıkma yasaklarının veya seyahat özgürlüğü kısıtlamalarının meşru bir nedene dayandığının kabul edilmesi gerektiği, buradaki sorunun kısıtlamaların uygulanmasın</w:t>
      </w:r>
      <w:r w:rsidR="00336E79">
        <w:rPr>
          <w:rFonts w:ascii="Times New Roman" w:hAnsi="Times New Roman"/>
          <w:lang w:eastAsia="tr-TR"/>
        </w:rPr>
        <w:t>d</w:t>
      </w:r>
      <w:r w:rsidR="00967312">
        <w:rPr>
          <w:rFonts w:ascii="Times New Roman" w:hAnsi="Times New Roman"/>
          <w:lang w:eastAsia="tr-TR"/>
        </w:rPr>
        <w:t xml:space="preserve">a izlenen yöntem olduğu </w:t>
      </w:r>
      <w:r w:rsidR="00336E79">
        <w:rPr>
          <w:rFonts w:ascii="Times New Roman" w:hAnsi="Times New Roman"/>
          <w:lang w:eastAsia="tr-TR"/>
        </w:rPr>
        <w:t xml:space="preserve">tekrar </w:t>
      </w:r>
      <w:r w:rsidR="00967312">
        <w:rPr>
          <w:rFonts w:ascii="Times New Roman" w:hAnsi="Times New Roman"/>
          <w:lang w:eastAsia="tr-TR"/>
        </w:rPr>
        <w:t>not edilmelidir.</w:t>
      </w:r>
      <w:r w:rsidR="008E6868">
        <w:rPr>
          <w:rFonts w:ascii="Times New Roman" w:hAnsi="Times New Roman"/>
          <w:lang w:eastAsia="tr-TR"/>
        </w:rPr>
        <w:t xml:space="preserve"> </w:t>
      </w:r>
      <w:r w:rsidR="00832D7F">
        <w:rPr>
          <w:rFonts w:ascii="Times New Roman" w:hAnsi="Times New Roman"/>
          <w:lang w:eastAsia="tr-TR"/>
        </w:rPr>
        <w:t>Buna bağlı olarak, s</w:t>
      </w:r>
      <w:r w:rsidR="008E6868">
        <w:rPr>
          <w:rFonts w:ascii="Times New Roman" w:hAnsi="Times New Roman"/>
          <w:lang w:eastAsia="tr-TR"/>
        </w:rPr>
        <w:t xml:space="preserve">algın gerekçesiyle alınan önlemleri ve sınırlamaları ihlal eden kişilere </w:t>
      </w:r>
      <w:r w:rsidR="008E6868">
        <w:rPr>
          <w:rFonts w:ascii="Times New Roman" w:hAnsi="Times New Roman"/>
          <w:lang w:eastAsia="tr-TR"/>
        </w:rPr>
        <w:lastRenderedPageBreak/>
        <w:t xml:space="preserve">uygulanan </w:t>
      </w:r>
      <w:r w:rsidR="00832D7F">
        <w:rPr>
          <w:rFonts w:ascii="Times New Roman" w:hAnsi="Times New Roman"/>
          <w:lang w:eastAsia="tr-TR"/>
        </w:rPr>
        <w:t xml:space="preserve">idari para cezaları gibi </w:t>
      </w:r>
      <w:r w:rsidR="008E6868">
        <w:rPr>
          <w:rFonts w:ascii="Times New Roman" w:hAnsi="Times New Roman"/>
          <w:lang w:eastAsia="tr-TR"/>
        </w:rPr>
        <w:t>yaptırımların da anayasallığı öğretide tartışmalıdır.</w:t>
      </w:r>
      <w:r w:rsidR="00832D7F">
        <w:rPr>
          <w:rFonts w:ascii="Times New Roman" w:hAnsi="Times New Roman"/>
          <w:lang w:eastAsia="tr-TR"/>
        </w:rPr>
        <w:t xml:space="preserve"> Uygulamaların ve önlemlerin kanunilik ilkesine uygunluğu ve yasal zemini eleştirildiği için bu hükümlere dayanmayan bir yaptırımın</w:t>
      </w:r>
      <w:r w:rsidR="00336E79">
        <w:rPr>
          <w:rFonts w:ascii="Times New Roman" w:hAnsi="Times New Roman"/>
          <w:lang w:eastAsia="tr-TR"/>
        </w:rPr>
        <w:t xml:space="preserve"> </w:t>
      </w:r>
      <w:r w:rsidR="00832D7F">
        <w:rPr>
          <w:rFonts w:ascii="Times New Roman" w:hAnsi="Times New Roman"/>
          <w:lang w:eastAsia="tr-TR"/>
        </w:rPr>
        <w:t>da uygulanamayacağı ifade edilmektedir</w:t>
      </w:r>
      <w:r w:rsidR="00832D7F">
        <w:rPr>
          <w:rStyle w:val="FootnoteReference"/>
          <w:rFonts w:ascii="Times New Roman" w:hAnsi="Times New Roman"/>
          <w:lang w:eastAsia="tr-TR"/>
        </w:rPr>
        <w:footnoteReference w:id="65"/>
      </w:r>
      <w:r w:rsidR="00832D7F">
        <w:rPr>
          <w:rFonts w:ascii="Times New Roman" w:hAnsi="Times New Roman"/>
          <w:lang w:eastAsia="tr-TR"/>
        </w:rPr>
        <w:t>.</w:t>
      </w:r>
    </w:p>
    <w:p w14:paraId="3E916EDC" w14:textId="697F47AC" w:rsidR="00832D7F" w:rsidRDefault="00832D7F" w:rsidP="00503EB4">
      <w:pPr>
        <w:jc w:val="both"/>
        <w:rPr>
          <w:rFonts w:ascii="Times New Roman" w:hAnsi="Times New Roman"/>
          <w:lang w:eastAsia="tr-TR"/>
        </w:rPr>
      </w:pPr>
      <w:r>
        <w:rPr>
          <w:rFonts w:ascii="Times New Roman" w:hAnsi="Times New Roman"/>
          <w:lang w:eastAsia="tr-TR"/>
        </w:rPr>
        <w:tab/>
        <w:t>Türkiye’de</w:t>
      </w:r>
      <w:r w:rsidRPr="00832D7F">
        <w:rPr>
          <w:rFonts w:ascii="Times New Roman" w:hAnsi="Times New Roman"/>
          <w:lang w:eastAsia="tr-TR"/>
        </w:rPr>
        <w:t xml:space="preserve"> </w:t>
      </w:r>
      <w:proofErr w:type="spellStart"/>
      <w:r>
        <w:rPr>
          <w:rFonts w:ascii="Times New Roman" w:hAnsi="Times New Roman"/>
          <w:lang w:eastAsia="tr-TR"/>
        </w:rPr>
        <w:t>pandemi</w:t>
      </w:r>
      <w:proofErr w:type="spellEnd"/>
      <w:r>
        <w:rPr>
          <w:rFonts w:ascii="Times New Roman" w:hAnsi="Times New Roman"/>
          <w:lang w:eastAsia="tr-TR"/>
        </w:rPr>
        <w:t xml:space="preserve"> yönetimi sırasında ortaya çıkan sorunsallardan bir diğeri, </w:t>
      </w:r>
      <w:r w:rsidRPr="00832D7F">
        <w:rPr>
          <w:rFonts w:ascii="Times New Roman" w:hAnsi="Times New Roman"/>
          <w:lang w:eastAsia="tr-TR"/>
        </w:rPr>
        <w:t xml:space="preserve">hapishanelerin </w:t>
      </w:r>
      <w:r>
        <w:rPr>
          <w:rFonts w:ascii="Times New Roman" w:hAnsi="Times New Roman"/>
          <w:lang w:eastAsia="tr-TR"/>
        </w:rPr>
        <w:t xml:space="preserve">doluluk oranı </w:t>
      </w:r>
      <w:r w:rsidRPr="00832D7F">
        <w:rPr>
          <w:rFonts w:ascii="Times New Roman" w:hAnsi="Times New Roman"/>
          <w:lang w:eastAsia="tr-TR"/>
        </w:rPr>
        <w:t>ve hijyen</w:t>
      </w:r>
      <w:r>
        <w:rPr>
          <w:rFonts w:ascii="Times New Roman" w:hAnsi="Times New Roman"/>
          <w:lang w:eastAsia="tr-TR"/>
        </w:rPr>
        <w:t xml:space="preserve">ik </w:t>
      </w:r>
      <w:r w:rsidRPr="00832D7F">
        <w:rPr>
          <w:rFonts w:ascii="Times New Roman" w:hAnsi="Times New Roman"/>
          <w:lang w:eastAsia="tr-TR"/>
        </w:rPr>
        <w:t xml:space="preserve">olmaması nedeniyle </w:t>
      </w:r>
      <w:r>
        <w:rPr>
          <w:rFonts w:ascii="Times New Roman" w:hAnsi="Times New Roman"/>
          <w:lang w:eastAsia="tr-TR"/>
        </w:rPr>
        <w:t xml:space="preserve">yaklaşık doksan </w:t>
      </w:r>
      <w:r w:rsidRPr="00832D7F">
        <w:rPr>
          <w:rFonts w:ascii="Times New Roman" w:hAnsi="Times New Roman"/>
          <w:lang w:eastAsia="tr-TR"/>
        </w:rPr>
        <w:t>bin mahk</w:t>
      </w:r>
      <w:r>
        <w:rPr>
          <w:rFonts w:ascii="Times New Roman" w:hAnsi="Times New Roman"/>
          <w:lang w:eastAsia="tr-TR"/>
        </w:rPr>
        <w:t>ûm</w:t>
      </w:r>
      <w:r w:rsidRPr="00832D7F">
        <w:rPr>
          <w:rFonts w:ascii="Times New Roman" w:hAnsi="Times New Roman"/>
          <w:lang w:eastAsia="tr-TR"/>
        </w:rPr>
        <w:t>un serbest bırakılmasını sağlaya</w:t>
      </w:r>
      <w:r>
        <w:rPr>
          <w:rFonts w:ascii="Times New Roman" w:hAnsi="Times New Roman"/>
          <w:lang w:eastAsia="tr-TR"/>
        </w:rPr>
        <w:t xml:space="preserve">n </w:t>
      </w:r>
      <w:r w:rsidRPr="00832D7F">
        <w:rPr>
          <w:rFonts w:ascii="Times New Roman" w:hAnsi="Times New Roman"/>
          <w:lang w:eastAsia="tr-TR"/>
        </w:rPr>
        <w:t>infaz düzenlemesi</w:t>
      </w:r>
      <w:r>
        <w:rPr>
          <w:rFonts w:ascii="Times New Roman" w:hAnsi="Times New Roman"/>
          <w:lang w:eastAsia="tr-TR"/>
        </w:rPr>
        <w:t xml:space="preserve">dir. Düzenlemenin yapılmış olması </w:t>
      </w:r>
      <w:r w:rsidRPr="00832D7F">
        <w:rPr>
          <w:rFonts w:ascii="Times New Roman" w:hAnsi="Times New Roman"/>
          <w:lang w:eastAsia="tr-TR"/>
        </w:rPr>
        <w:t>mantıklı bir adım ol</w:t>
      </w:r>
      <w:r>
        <w:rPr>
          <w:rFonts w:ascii="Times New Roman" w:hAnsi="Times New Roman"/>
          <w:lang w:eastAsia="tr-TR"/>
        </w:rPr>
        <w:t>arak değerlendirilse de</w:t>
      </w:r>
      <w:r w:rsidRPr="00832D7F">
        <w:rPr>
          <w:rFonts w:ascii="Times New Roman" w:hAnsi="Times New Roman"/>
          <w:lang w:eastAsia="tr-TR"/>
        </w:rPr>
        <w:t xml:space="preserve"> gazeteci, insan hakları savunucusu ve muhalif tutuklu ve hükümlülerin bu düzenlemenin dışında tutulduğuna dikkat çekmek gerek</w:t>
      </w:r>
      <w:r>
        <w:rPr>
          <w:rFonts w:ascii="Times New Roman" w:hAnsi="Times New Roman"/>
          <w:lang w:eastAsia="tr-TR"/>
        </w:rPr>
        <w:t>ir</w:t>
      </w:r>
      <w:r>
        <w:rPr>
          <w:rStyle w:val="FootnoteReference"/>
          <w:rFonts w:ascii="Times New Roman" w:hAnsi="Times New Roman"/>
          <w:lang w:eastAsia="tr-TR"/>
        </w:rPr>
        <w:footnoteReference w:id="66"/>
      </w:r>
      <w:r w:rsidRPr="00832D7F">
        <w:rPr>
          <w:rFonts w:ascii="Times New Roman" w:hAnsi="Times New Roman"/>
          <w:lang w:eastAsia="tr-TR"/>
        </w:rPr>
        <w:t>.</w:t>
      </w:r>
      <w:r>
        <w:rPr>
          <w:rFonts w:ascii="Times New Roman" w:hAnsi="Times New Roman"/>
          <w:lang w:eastAsia="tr-TR"/>
        </w:rPr>
        <w:t xml:space="preserve"> Son olarak, </w:t>
      </w:r>
      <w:r w:rsidR="00620C19">
        <w:rPr>
          <w:rFonts w:ascii="Times New Roman" w:hAnsi="Times New Roman"/>
          <w:lang w:eastAsia="tr-TR"/>
        </w:rPr>
        <w:t xml:space="preserve">siyasal partilerin ve baroların muhalif protestoları salgın kapsamında alınan önlemler gerekçesiyle yasaklanmış, bu da ifade </w:t>
      </w:r>
      <w:r w:rsidR="00336E79">
        <w:rPr>
          <w:rFonts w:ascii="Times New Roman" w:hAnsi="Times New Roman"/>
          <w:lang w:eastAsia="tr-TR"/>
        </w:rPr>
        <w:t xml:space="preserve">ile </w:t>
      </w:r>
      <w:r w:rsidR="00620C19">
        <w:rPr>
          <w:rFonts w:ascii="Times New Roman" w:hAnsi="Times New Roman"/>
          <w:lang w:eastAsia="tr-TR"/>
        </w:rPr>
        <w:t>toplantı ve gösteri özgürlüğüne müdahale edildiğine ilişkin eleştirilerle karşılanmıştır. Öyle ki,</w:t>
      </w:r>
      <w:r w:rsidR="00620C19" w:rsidRPr="00620C19">
        <w:rPr>
          <w:rFonts w:ascii="Times New Roman" w:hAnsi="Times New Roman"/>
          <w:lang w:eastAsia="tr-TR"/>
        </w:rPr>
        <w:t xml:space="preserve"> </w:t>
      </w:r>
      <w:r w:rsidR="00620C19">
        <w:rPr>
          <w:rFonts w:ascii="Times New Roman" w:hAnsi="Times New Roman"/>
          <w:lang w:eastAsia="tr-TR"/>
        </w:rPr>
        <w:t>salgının</w:t>
      </w:r>
      <w:r w:rsidR="00620C19" w:rsidRPr="00832D7F">
        <w:rPr>
          <w:rFonts w:ascii="Times New Roman" w:hAnsi="Times New Roman"/>
          <w:lang w:eastAsia="tr-TR"/>
        </w:rPr>
        <w:t xml:space="preserve"> yayılmasını önlemek için protestocular arasında hem hakkın kullanılmasını sağlamak hem de sosyal mesafeyi korumak için gerekli önlemleri almak yerine</w:t>
      </w:r>
      <w:r w:rsidR="00336E79">
        <w:rPr>
          <w:rFonts w:ascii="Times New Roman" w:hAnsi="Times New Roman"/>
          <w:lang w:eastAsia="tr-TR"/>
        </w:rPr>
        <w:t xml:space="preserve"> tercih edilen </w:t>
      </w:r>
      <w:r w:rsidR="00620C19">
        <w:rPr>
          <w:rFonts w:ascii="Times New Roman" w:hAnsi="Times New Roman"/>
          <w:lang w:eastAsia="tr-TR"/>
        </w:rPr>
        <w:t xml:space="preserve">bu gibi müdahalelerin, </w:t>
      </w:r>
      <w:r w:rsidRPr="00832D7F">
        <w:rPr>
          <w:rFonts w:ascii="Times New Roman" w:hAnsi="Times New Roman"/>
          <w:lang w:eastAsia="tr-TR"/>
        </w:rPr>
        <w:t xml:space="preserve">demokratik bir toplumda orantısız ve gereksiz </w:t>
      </w:r>
      <w:r w:rsidR="00620C19">
        <w:rPr>
          <w:rFonts w:ascii="Times New Roman" w:hAnsi="Times New Roman"/>
          <w:lang w:eastAsia="tr-TR"/>
        </w:rPr>
        <w:t xml:space="preserve">nitelikte olduğu ve </w:t>
      </w:r>
      <w:r w:rsidRPr="00832D7F">
        <w:rPr>
          <w:rFonts w:ascii="Times New Roman" w:hAnsi="Times New Roman"/>
          <w:lang w:eastAsia="tr-TR"/>
        </w:rPr>
        <w:t>barışçıl toplanma hakkının özünü zedele</w:t>
      </w:r>
      <w:r w:rsidR="00620C19">
        <w:rPr>
          <w:rFonts w:ascii="Times New Roman" w:hAnsi="Times New Roman"/>
          <w:lang w:eastAsia="tr-TR"/>
        </w:rPr>
        <w:t>diği ifade edilmektedir</w:t>
      </w:r>
      <w:r w:rsidR="00620C19">
        <w:rPr>
          <w:rStyle w:val="FootnoteReference"/>
          <w:rFonts w:ascii="Times New Roman" w:hAnsi="Times New Roman"/>
          <w:lang w:eastAsia="tr-TR"/>
        </w:rPr>
        <w:footnoteReference w:id="67"/>
      </w:r>
      <w:r w:rsidR="00620C19">
        <w:rPr>
          <w:rFonts w:ascii="Times New Roman" w:hAnsi="Times New Roman"/>
          <w:lang w:eastAsia="tr-TR"/>
        </w:rPr>
        <w:t>.</w:t>
      </w:r>
    </w:p>
    <w:p w14:paraId="45032D1D" w14:textId="0FC34FF9" w:rsidR="00675717" w:rsidRPr="00B73B6A" w:rsidRDefault="00B73B6A" w:rsidP="00503EB4">
      <w:pPr>
        <w:jc w:val="both"/>
        <w:rPr>
          <w:rFonts w:ascii="Times New Roman" w:hAnsi="Times New Roman"/>
          <w:b/>
          <w:bCs/>
          <w:lang w:eastAsia="tr-TR"/>
        </w:rPr>
      </w:pPr>
      <w:r>
        <w:rPr>
          <w:rFonts w:ascii="Times New Roman" w:hAnsi="Times New Roman"/>
          <w:b/>
          <w:bCs/>
          <w:lang w:eastAsia="tr-TR"/>
        </w:rPr>
        <w:tab/>
      </w:r>
      <w:r w:rsidR="00675717" w:rsidRPr="00B73B6A">
        <w:rPr>
          <w:rFonts w:ascii="Times New Roman" w:hAnsi="Times New Roman"/>
          <w:b/>
          <w:bCs/>
          <w:lang w:eastAsia="tr-TR"/>
        </w:rPr>
        <w:t>III. SONUÇ</w:t>
      </w:r>
    </w:p>
    <w:p w14:paraId="1717B1F7" w14:textId="4FE19EF5" w:rsidR="00971CE1" w:rsidRDefault="00B73B6A" w:rsidP="00503EB4">
      <w:pPr>
        <w:jc w:val="both"/>
        <w:rPr>
          <w:rFonts w:ascii="Times New Roman" w:hAnsi="Times New Roman" w:cs="Times New Roman"/>
        </w:rPr>
      </w:pPr>
      <w:r>
        <w:rPr>
          <w:rFonts w:ascii="Times New Roman" w:hAnsi="Times New Roman"/>
          <w:lang w:eastAsia="tr-TR"/>
        </w:rPr>
        <w:tab/>
      </w:r>
      <w:r w:rsidR="00675717">
        <w:rPr>
          <w:rFonts w:ascii="Times New Roman" w:hAnsi="Times New Roman"/>
          <w:lang w:eastAsia="tr-TR"/>
        </w:rPr>
        <w:t>İ</w:t>
      </w:r>
      <w:r w:rsidR="00675717" w:rsidRPr="00971CE1">
        <w:rPr>
          <w:rFonts w:ascii="Times New Roman" w:hAnsi="Times New Roman"/>
          <w:lang w:eastAsia="tr-TR"/>
        </w:rPr>
        <w:t xml:space="preserve">nsan hakları rejimleri açısından genel olarak yeni bir zorluğu da beraberinde getiren </w:t>
      </w:r>
      <w:proofErr w:type="spellStart"/>
      <w:r w:rsidR="00675717" w:rsidRPr="00971CE1">
        <w:rPr>
          <w:rFonts w:ascii="Times New Roman" w:hAnsi="Times New Roman"/>
          <w:lang w:eastAsia="tr-TR"/>
        </w:rPr>
        <w:t>pandemi</w:t>
      </w:r>
      <w:proofErr w:type="spellEnd"/>
      <w:r w:rsidR="00675717">
        <w:rPr>
          <w:rFonts w:ascii="Times New Roman" w:hAnsi="Times New Roman"/>
          <w:lang w:eastAsia="tr-TR"/>
        </w:rPr>
        <w:t>, çoğulcu d</w:t>
      </w:r>
      <w:r w:rsidR="00493945">
        <w:rPr>
          <w:rFonts w:ascii="Times New Roman" w:hAnsi="Times New Roman"/>
          <w:lang w:eastAsia="tr-TR"/>
        </w:rPr>
        <w:t xml:space="preserve">emokrasi için </w:t>
      </w:r>
      <w:r w:rsidR="00675717">
        <w:rPr>
          <w:rFonts w:ascii="Times New Roman" w:hAnsi="Times New Roman"/>
          <w:lang w:eastAsia="tr-TR"/>
        </w:rPr>
        <w:t xml:space="preserve">bir çeşit </w:t>
      </w:r>
      <w:r w:rsidR="00493945">
        <w:rPr>
          <w:rFonts w:ascii="Times New Roman" w:hAnsi="Times New Roman"/>
          <w:lang w:eastAsia="tr-TR"/>
        </w:rPr>
        <w:t>dayanıklılık sınavı</w:t>
      </w:r>
      <w:r w:rsidR="00675717">
        <w:rPr>
          <w:rFonts w:ascii="Times New Roman" w:hAnsi="Times New Roman"/>
          <w:lang w:eastAsia="tr-TR"/>
        </w:rPr>
        <w:t xml:space="preserve"> niteliğindedir</w:t>
      </w:r>
      <w:r>
        <w:rPr>
          <w:rFonts w:ascii="Times New Roman" w:hAnsi="Times New Roman"/>
          <w:lang w:eastAsia="tr-TR"/>
        </w:rPr>
        <w:t>. Parlamentonun işlevinin sınırlanmadığı ve y</w:t>
      </w:r>
      <w:r w:rsidR="00B04F43" w:rsidRPr="00B04F43">
        <w:rPr>
          <w:rFonts w:ascii="Times New Roman" w:hAnsi="Times New Roman"/>
          <w:lang w:eastAsia="tr-TR"/>
        </w:rPr>
        <w:t>argı denetiminin salgınla mücadele sürecinde de etkin biçimde kullanıldığı ülkeler arasında yer alan Almanya</w:t>
      </w:r>
      <w:r w:rsidR="00F047DA">
        <w:rPr>
          <w:rFonts w:ascii="Times New Roman" w:hAnsi="Times New Roman"/>
          <w:lang w:eastAsia="tr-TR"/>
        </w:rPr>
        <w:t xml:space="preserve"> ve </w:t>
      </w:r>
      <w:r>
        <w:rPr>
          <w:rFonts w:ascii="Times New Roman" w:hAnsi="Times New Roman"/>
          <w:lang w:eastAsia="tr-TR"/>
        </w:rPr>
        <w:t xml:space="preserve">Danimarka gibi </w:t>
      </w:r>
      <w:r w:rsidR="00B04F43" w:rsidRPr="00B04F43">
        <w:rPr>
          <w:rFonts w:ascii="Times New Roman" w:hAnsi="Times New Roman"/>
          <w:lang w:eastAsia="tr-TR"/>
        </w:rPr>
        <w:t>süreci</w:t>
      </w:r>
      <w:r>
        <w:rPr>
          <w:rFonts w:ascii="Times New Roman" w:hAnsi="Times New Roman"/>
          <w:lang w:eastAsia="tr-TR"/>
        </w:rPr>
        <w:t xml:space="preserve"> </w:t>
      </w:r>
      <w:r w:rsidR="00B04F43" w:rsidRPr="00B04F43">
        <w:rPr>
          <w:rFonts w:ascii="Times New Roman" w:hAnsi="Times New Roman"/>
          <w:lang w:eastAsia="tr-TR"/>
        </w:rPr>
        <w:t>demokratik ilkeler</w:t>
      </w:r>
      <w:r>
        <w:rPr>
          <w:rFonts w:ascii="Times New Roman" w:hAnsi="Times New Roman"/>
          <w:lang w:eastAsia="tr-TR"/>
        </w:rPr>
        <w:t xml:space="preserve">e </w:t>
      </w:r>
      <w:r w:rsidR="00B04F43" w:rsidRPr="00B04F43">
        <w:rPr>
          <w:rFonts w:ascii="Times New Roman" w:hAnsi="Times New Roman"/>
          <w:lang w:eastAsia="tr-TR"/>
        </w:rPr>
        <w:t>ve hukuk devleti</w:t>
      </w:r>
      <w:r>
        <w:rPr>
          <w:rFonts w:ascii="Times New Roman" w:hAnsi="Times New Roman"/>
          <w:lang w:eastAsia="tr-TR"/>
        </w:rPr>
        <w:t xml:space="preserve">ne bağlılıkla </w:t>
      </w:r>
      <w:r w:rsidR="00B04F43" w:rsidRPr="00B04F43">
        <w:rPr>
          <w:rFonts w:ascii="Times New Roman" w:hAnsi="Times New Roman"/>
          <w:lang w:eastAsia="tr-TR"/>
        </w:rPr>
        <w:t>yönet</w:t>
      </w:r>
      <w:r>
        <w:rPr>
          <w:rFonts w:ascii="Times New Roman" w:hAnsi="Times New Roman"/>
          <w:lang w:eastAsia="tr-TR"/>
        </w:rPr>
        <w:t>en örnekler olduğu gibi</w:t>
      </w:r>
      <w:r w:rsidR="00F047DA">
        <w:rPr>
          <w:rFonts w:ascii="Times New Roman" w:hAnsi="Times New Roman"/>
          <w:lang w:eastAsia="tr-TR"/>
        </w:rPr>
        <w:t>, ABD</w:t>
      </w:r>
      <w:r w:rsidR="00F047DA">
        <w:rPr>
          <w:rStyle w:val="FootnoteReference"/>
          <w:rFonts w:ascii="Times New Roman" w:hAnsi="Times New Roman"/>
          <w:lang w:eastAsia="tr-TR"/>
        </w:rPr>
        <w:footnoteReference w:id="68"/>
      </w:r>
      <w:r w:rsidR="00F047DA">
        <w:rPr>
          <w:rFonts w:ascii="Times New Roman" w:hAnsi="Times New Roman"/>
          <w:lang w:eastAsia="tr-TR"/>
        </w:rPr>
        <w:t xml:space="preserve"> gibi görece demokratik yöntemler izleyen veya </w:t>
      </w:r>
      <w:r w:rsidR="00990B0D">
        <w:rPr>
          <w:rFonts w:ascii="Times New Roman" w:hAnsi="Times New Roman"/>
          <w:lang w:eastAsia="tr-TR"/>
        </w:rPr>
        <w:t>Macaristan, Polonya</w:t>
      </w:r>
      <w:r>
        <w:rPr>
          <w:rFonts w:ascii="Times New Roman" w:hAnsi="Times New Roman"/>
          <w:lang w:eastAsia="tr-TR"/>
        </w:rPr>
        <w:t xml:space="preserve"> ve </w:t>
      </w:r>
      <w:r w:rsidR="00990B0D">
        <w:rPr>
          <w:rFonts w:ascii="Times New Roman" w:hAnsi="Times New Roman"/>
          <w:lang w:eastAsia="tr-TR"/>
        </w:rPr>
        <w:t xml:space="preserve">Türkiye </w:t>
      </w:r>
      <w:r w:rsidR="00F726C7">
        <w:rPr>
          <w:rFonts w:ascii="Times New Roman" w:hAnsi="Times New Roman"/>
          <w:lang w:eastAsia="tr-TR"/>
        </w:rPr>
        <w:t xml:space="preserve">gibi </w:t>
      </w:r>
      <w:r w:rsidR="00990B0D">
        <w:rPr>
          <w:rFonts w:ascii="Times New Roman" w:hAnsi="Times New Roman"/>
          <w:lang w:eastAsia="tr-TR"/>
        </w:rPr>
        <w:t>salgınla mücadele çerçevesinde alınan önlemler adı altında, salgınla bağlantısı olmayan ya da yalnızca tali bağlantı içindeki birtakım düzenlemelerin yürürlüğe girdiği ve anayasal gerçeklikte hukuk devleti kavramında ciddi erozyonlar yaşan</w:t>
      </w:r>
      <w:r w:rsidR="00F047DA">
        <w:rPr>
          <w:rFonts w:ascii="Times New Roman" w:hAnsi="Times New Roman"/>
          <w:lang w:eastAsia="tr-TR"/>
        </w:rPr>
        <w:t>an ülkeler de söz konusudur</w:t>
      </w:r>
      <w:r>
        <w:rPr>
          <w:rFonts w:ascii="Times New Roman" w:hAnsi="Times New Roman"/>
          <w:lang w:eastAsia="tr-TR"/>
        </w:rPr>
        <w:t xml:space="preserve">. </w:t>
      </w:r>
      <w:r w:rsidR="00315AC9">
        <w:rPr>
          <w:rFonts w:ascii="Times New Roman" w:hAnsi="Times New Roman"/>
          <w:lang w:eastAsia="tr-TR"/>
        </w:rPr>
        <w:t xml:space="preserve">Hukukun siyasal iktidarın </w:t>
      </w:r>
      <w:r>
        <w:rPr>
          <w:rFonts w:ascii="Times New Roman" w:hAnsi="Times New Roman"/>
          <w:lang w:eastAsia="tr-TR"/>
        </w:rPr>
        <w:t xml:space="preserve">isteklerine veya tercihlerine yalnızca </w:t>
      </w:r>
      <w:r w:rsidR="00315AC9">
        <w:rPr>
          <w:rFonts w:ascii="Times New Roman" w:hAnsi="Times New Roman"/>
          <w:lang w:eastAsia="tr-TR"/>
        </w:rPr>
        <w:t xml:space="preserve">aracılık edebilmesi için kullanılarak </w:t>
      </w:r>
      <w:proofErr w:type="spellStart"/>
      <w:r w:rsidR="00315AC9">
        <w:rPr>
          <w:rFonts w:ascii="Times New Roman" w:hAnsi="Times New Roman"/>
          <w:lang w:eastAsia="tr-TR"/>
        </w:rPr>
        <w:t>araçsallaştırılması</w:t>
      </w:r>
      <w:proofErr w:type="spellEnd"/>
      <w:r w:rsidR="00315AC9">
        <w:rPr>
          <w:rFonts w:ascii="Times New Roman" w:hAnsi="Times New Roman"/>
          <w:lang w:eastAsia="tr-TR"/>
        </w:rPr>
        <w:t>, hukuk devleti ilkesinin ihlali</w:t>
      </w:r>
      <w:r>
        <w:rPr>
          <w:rFonts w:ascii="Times New Roman" w:hAnsi="Times New Roman"/>
          <w:lang w:eastAsia="tr-TR"/>
        </w:rPr>
        <w:t xml:space="preserve"> anlamına gelir</w:t>
      </w:r>
      <w:r w:rsidR="00315AC9">
        <w:rPr>
          <w:rFonts w:ascii="Times New Roman" w:hAnsi="Times New Roman"/>
          <w:lang w:eastAsia="tr-TR"/>
        </w:rPr>
        <w:t>.</w:t>
      </w:r>
      <w:r>
        <w:rPr>
          <w:rFonts w:ascii="Times New Roman" w:hAnsi="Times New Roman"/>
          <w:lang w:eastAsia="tr-TR"/>
        </w:rPr>
        <w:t xml:space="preserve"> </w:t>
      </w:r>
      <w:r w:rsidR="005C0717">
        <w:rPr>
          <w:rFonts w:ascii="Times New Roman" w:hAnsi="Times New Roman"/>
          <w:lang w:eastAsia="tr-TR"/>
        </w:rPr>
        <w:t>H</w:t>
      </w:r>
      <w:r w:rsidR="005C0717" w:rsidRPr="002D5DF5">
        <w:rPr>
          <w:rFonts w:ascii="Times New Roman" w:hAnsi="Times New Roman"/>
          <w:lang w:eastAsia="tr-TR"/>
        </w:rPr>
        <w:t xml:space="preserve">ukuk devleti ilkesinin hayata geçirilebilmesi için kişilerin yalnızca hak özneleri olarak tanınması yeterli değildir. Aynı zamanda, </w:t>
      </w:r>
      <w:r w:rsidR="005C0717">
        <w:rPr>
          <w:rFonts w:ascii="Times New Roman" w:hAnsi="Times New Roman"/>
          <w:lang w:eastAsia="tr-TR"/>
        </w:rPr>
        <w:t xml:space="preserve">hak arama özgürlüğü, idarenin her türlü işlem ve eyleminin yargısal denetimi gibi </w:t>
      </w:r>
      <w:r w:rsidR="005C0717" w:rsidRPr="002D5DF5">
        <w:rPr>
          <w:rFonts w:ascii="Times New Roman" w:hAnsi="Times New Roman"/>
          <w:lang w:eastAsia="tr-TR"/>
        </w:rPr>
        <w:t xml:space="preserve">işlevsel hak arama araçları ve yöntemleri </w:t>
      </w:r>
      <w:r w:rsidR="005C0717">
        <w:rPr>
          <w:rFonts w:ascii="Times New Roman" w:hAnsi="Times New Roman"/>
          <w:lang w:eastAsia="tr-TR"/>
        </w:rPr>
        <w:t xml:space="preserve">de </w:t>
      </w:r>
      <w:r w:rsidR="005C0717" w:rsidRPr="002D5DF5">
        <w:rPr>
          <w:rFonts w:ascii="Times New Roman" w:hAnsi="Times New Roman"/>
          <w:lang w:eastAsia="tr-TR"/>
        </w:rPr>
        <w:t>sunulmalıdır.</w:t>
      </w:r>
      <w:r w:rsidR="005C0717">
        <w:rPr>
          <w:rFonts w:ascii="Times New Roman" w:hAnsi="Times New Roman"/>
        </w:rPr>
        <w:t xml:space="preserve"> Dolayısıyla, bu araç ve yöntemlere ilişkin demokratik ilkelerle uyum içinde olmayan ve orantısız her türlü sınırlama da hukuk devleti ilkesinin ihlaline yol açar. </w:t>
      </w:r>
      <w:r>
        <w:rPr>
          <w:rFonts w:ascii="Times New Roman" w:hAnsi="Times New Roman"/>
          <w:lang w:eastAsia="tr-TR"/>
        </w:rPr>
        <w:t>H</w:t>
      </w:r>
      <w:r w:rsidR="00D226E3">
        <w:rPr>
          <w:rFonts w:ascii="Times New Roman" w:hAnsi="Times New Roman"/>
          <w:lang w:eastAsia="tr-TR"/>
        </w:rPr>
        <w:t>u</w:t>
      </w:r>
      <w:r w:rsidR="00315AC9">
        <w:rPr>
          <w:rFonts w:ascii="Times New Roman" w:hAnsi="Times New Roman"/>
          <w:lang w:eastAsia="tr-TR"/>
        </w:rPr>
        <w:t>kuk devletinin</w:t>
      </w:r>
      <w:r w:rsidR="00D226E3">
        <w:rPr>
          <w:rFonts w:ascii="Times New Roman" w:hAnsi="Times New Roman"/>
          <w:lang w:eastAsia="tr-TR"/>
        </w:rPr>
        <w:t xml:space="preserve"> </w:t>
      </w:r>
      <w:r w:rsidR="00315AC9">
        <w:rPr>
          <w:rFonts w:ascii="Times New Roman" w:hAnsi="Times New Roman"/>
          <w:lang w:eastAsia="tr-TR"/>
        </w:rPr>
        <w:t>ve sınırlı iktidar anlayışının anayasacılık düşüncesinin temel unsurlarından biri olduğu düşünüldüğünde</w:t>
      </w:r>
      <w:r w:rsidR="00D226E3">
        <w:rPr>
          <w:rFonts w:ascii="Times New Roman" w:hAnsi="Times New Roman"/>
          <w:lang w:eastAsia="tr-TR"/>
        </w:rPr>
        <w:t xml:space="preserve">, hukuk devletinin </w:t>
      </w:r>
      <w:r w:rsidR="00D226E3" w:rsidRPr="00F37D86">
        <w:rPr>
          <w:rFonts w:ascii="Times New Roman" w:hAnsi="Times New Roman" w:cs="Times New Roman"/>
          <w:lang w:eastAsia="tr-TR"/>
        </w:rPr>
        <w:t>yokluğunun doğal sonucu da çağdaş anayasal demokrasinin yaşamasının olanaksız hâle gelmesidir</w:t>
      </w:r>
      <w:r w:rsidR="00D226E3" w:rsidRPr="00F37D86">
        <w:rPr>
          <w:rStyle w:val="FootnoteReference"/>
          <w:rFonts w:ascii="Times New Roman" w:hAnsi="Times New Roman" w:cs="Times New Roman"/>
          <w:lang w:eastAsia="tr-TR"/>
        </w:rPr>
        <w:footnoteReference w:id="69"/>
      </w:r>
      <w:r w:rsidR="00D226E3" w:rsidRPr="00F37D86">
        <w:rPr>
          <w:rFonts w:ascii="Times New Roman" w:hAnsi="Times New Roman" w:cs="Times New Roman"/>
          <w:lang w:eastAsia="tr-TR"/>
        </w:rPr>
        <w:t>.</w:t>
      </w:r>
      <w:r w:rsidR="00F37D86" w:rsidRPr="00F37D86">
        <w:rPr>
          <w:rFonts w:ascii="Times New Roman" w:hAnsi="Times New Roman" w:cs="Times New Roman"/>
          <w:lang w:eastAsia="tr-TR"/>
        </w:rPr>
        <w:t xml:space="preserve"> </w:t>
      </w:r>
      <w:r w:rsidR="00F726C7">
        <w:rPr>
          <w:rFonts w:ascii="Times New Roman" w:hAnsi="Times New Roman" w:cs="Times New Roman"/>
        </w:rPr>
        <w:t xml:space="preserve">Karşılaştırmalı örneklerdeki farklı uygulamalar dikkate alındığında ise </w:t>
      </w:r>
      <w:proofErr w:type="spellStart"/>
      <w:r w:rsidR="00F726C7">
        <w:rPr>
          <w:rFonts w:ascii="Times New Roman" w:hAnsi="Times New Roman" w:cs="Times New Roman"/>
        </w:rPr>
        <w:t>pandeminin</w:t>
      </w:r>
      <w:proofErr w:type="spellEnd"/>
      <w:r w:rsidR="00F726C7">
        <w:rPr>
          <w:rFonts w:ascii="Times New Roman" w:hAnsi="Times New Roman" w:cs="Times New Roman"/>
        </w:rPr>
        <w:t xml:space="preserve">, </w:t>
      </w:r>
      <w:r w:rsidR="00F726C7" w:rsidRPr="00CF100B">
        <w:rPr>
          <w:rFonts w:ascii="Times New Roman" w:hAnsi="Times New Roman"/>
          <w:lang w:eastAsia="tr-TR"/>
        </w:rPr>
        <w:t>birçok devlette</w:t>
      </w:r>
      <w:r w:rsidR="00F726C7">
        <w:rPr>
          <w:rFonts w:ascii="Times New Roman" w:hAnsi="Times New Roman"/>
          <w:lang w:eastAsia="tr-TR"/>
        </w:rPr>
        <w:t xml:space="preserve"> </w:t>
      </w:r>
      <w:r w:rsidR="00F726C7" w:rsidRPr="00CF100B">
        <w:rPr>
          <w:rFonts w:ascii="Times New Roman" w:hAnsi="Times New Roman"/>
          <w:lang w:eastAsia="tr-TR"/>
        </w:rPr>
        <w:t>siyasi sistemin gerçek doğasını ortaya çıkar</w:t>
      </w:r>
      <w:r w:rsidR="00F726C7">
        <w:rPr>
          <w:rFonts w:ascii="Times New Roman" w:hAnsi="Times New Roman"/>
          <w:lang w:eastAsia="tr-TR"/>
        </w:rPr>
        <w:t xml:space="preserve">dığı ve </w:t>
      </w:r>
      <w:r w:rsidR="00F726C7" w:rsidRPr="00E05DFD">
        <w:rPr>
          <w:rFonts w:ascii="Times New Roman" w:hAnsi="Times New Roman"/>
          <w:lang w:eastAsia="tr-TR"/>
        </w:rPr>
        <w:t>otoriterliğe yakın siyasal iktidarların elini güçlendirdiği</w:t>
      </w:r>
      <w:r w:rsidR="00F726C7">
        <w:rPr>
          <w:rFonts w:ascii="Times New Roman" w:hAnsi="Times New Roman"/>
          <w:lang w:eastAsia="tr-TR"/>
        </w:rPr>
        <w:t xml:space="preserve"> savına katılmak mümkündür. </w:t>
      </w:r>
      <w:r w:rsidR="00F37D86" w:rsidRPr="00F37D86">
        <w:rPr>
          <w:rFonts w:ascii="Times New Roman" w:hAnsi="Times New Roman" w:cs="Times New Roman"/>
          <w:lang w:eastAsia="tr-TR"/>
        </w:rPr>
        <w:t xml:space="preserve">Burada önemli </w:t>
      </w:r>
      <w:r w:rsidR="00F726C7">
        <w:rPr>
          <w:rFonts w:ascii="Times New Roman" w:hAnsi="Times New Roman" w:cs="Times New Roman"/>
          <w:lang w:eastAsia="tr-TR"/>
        </w:rPr>
        <w:t xml:space="preserve">ve gerekli </w:t>
      </w:r>
      <w:r w:rsidR="00F37D86" w:rsidRPr="00F37D86">
        <w:rPr>
          <w:rFonts w:ascii="Times New Roman" w:hAnsi="Times New Roman" w:cs="Times New Roman"/>
          <w:lang w:eastAsia="tr-TR"/>
        </w:rPr>
        <w:t xml:space="preserve">olan </w:t>
      </w:r>
      <w:r w:rsidR="00971CE1" w:rsidRPr="00F37D86">
        <w:rPr>
          <w:rFonts w:ascii="Times New Roman" w:hAnsi="Times New Roman" w:cs="Times New Roman"/>
        </w:rPr>
        <w:t>siyasal iktidarla</w:t>
      </w:r>
      <w:r w:rsidR="00F37D86" w:rsidRPr="00F37D86">
        <w:rPr>
          <w:rFonts w:ascii="Times New Roman" w:hAnsi="Times New Roman" w:cs="Times New Roman"/>
        </w:rPr>
        <w:t>rın</w:t>
      </w:r>
      <w:r w:rsidR="00971CE1" w:rsidRPr="00F37D86">
        <w:rPr>
          <w:rFonts w:ascii="Times New Roman" w:hAnsi="Times New Roman" w:cs="Times New Roman"/>
        </w:rPr>
        <w:t xml:space="preserve">, haklar </w:t>
      </w:r>
      <w:r w:rsidR="00F37D86" w:rsidRPr="00F37D86">
        <w:rPr>
          <w:rFonts w:ascii="Times New Roman" w:hAnsi="Times New Roman" w:cs="Times New Roman"/>
        </w:rPr>
        <w:t xml:space="preserve">ve </w:t>
      </w:r>
      <w:r w:rsidR="00F726C7">
        <w:rPr>
          <w:rFonts w:ascii="Times New Roman" w:hAnsi="Times New Roman" w:cs="Times New Roman"/>
        </w:rPr>
        <w:t xml:space="preserve">salgına yönelik </w:t>
      </w:r>
      <w:r w:rsidR="00F37D86" w:rsidRPr="00F37D86">
        <w:rPr>
          <w:rFonts w:ascii="Times New Roman" w:hAnsi="Times New Roman" w:cs="Times New Roman"/>
        </w:rPr>
        <w:t xml:space="preserve">önlemler </w:t>
      </w:r>
      <w:r w:rsidR="00971CE1" w:rsidRPr="00F37D86">
        <w:rPr>
          <w:rFonts w:ascii="Times New Roman" w:hAnsi="Times New Roman" w:cs="Times New Roman"/>
        </w:rPr>
        <w:t xml:space="preserve">arasında </w:t>
      </w:r>
      <w:r w:rsidR="00F37D86" w:rsidRPr="00F37D86">
        <w:rPr>
          <w:rFonts w:ascii="Times New Roman" w:hAnsi="Times New Roman" w:cs="Times New Roman"/>
        </w:rPr>
        <w:t xml:space="preserve">adil bir </w:t>
      </w:r>
      <w:r w:rsidR="00971CE1" w:rsidRPr="00F37D86">
        <w:rPr>
          <w:rFonts w:ascii="Times New Roman" w:hAnsi="Times New Roman" w:cs="Times New Roman"/>
        </w:rPr>
        <w:t>denge</w:t>
      </w:r>
      <w:r w:rsidR="00F37D86" w:rsidRPr="00F37D86">
        <w:rPr>
          <w:rFonts w:ascii="Times New Roman" w:hAnsi="Times New Roman" w:cs="Times New Roman"/>
        </w:rPr>
        <w:t xml:space="preserve">yi </w:t>
      </w:r>
      <w:r w:rsidR="00971CE1" w:rsidRPr="00F37D86">
        <w:rPr>
          <w:rFonts w:ascii="Times New Roman" w:hAnsi="Times New Roman" w:cs="Times New Roman"/>
        </w:rPr>
        <w:t xml:space="preserve">gözetecek </w:t>
      </w:r>
      <w:r w:rsidR="00F37D86" w:rsidRPr="00F37D86">
        <w:rPr>
          <w:rFonts w:ascii="Times New Roman" w:hAnsi="Times New Roman" w:cs="Times New Roman"/>
        </w:rPr>
        <w:lastRenderedPageBreak/>
        <w:t xml:space="preserve">biçimde uygulamalarını </w:t>
      </w:r>
      <w:r w:rsidR="00F37D86">
        <w:rPr>
          <w:rFonts w:ascii="Times New Roman" w:hAnsi="Times New Roman" w:cs="Times New Roman"/>
        </w:rPr>
        <w:t xml:space="preserve">anayasal ve yasal düzeyde </w:t>
      </w:r>
      <w:r w:rsidR="00F37D86" w:rsidRPr="00F37D86">
        <w:rPr>
          <w:rFonts w:ascii="Times New Roman" w:hAnsi="Times New Roman" w:cs="Times New Roman"/>
        </w:rPr>
        <w:t>gerekçelendir</w:t>
      </w:r>
      <w:r w:rsidR="00F37D86">
        <w:rPr>
          <w:rFonts w:ascii="Times New Roman" w:hAnsi="Times New Roman" w:cs="Times New Roman"/>
        </w:rPr>
        <w:t>ebil</w:t>
      </w:r>
      <w:r w:rsidR="00F37D86" w:rsidRPr="00F37D86">
        <w:rPr>
          <w:rFonts w:ascii="Times New Roman" w:hAnsi="Times New Roman" w:cs="Times New Roman"/>
        </w:rPr>
        <w:t xml:space="preserve">meleridir. Bunun için de salgın temelli </w:t>
      </w:r>
      <w:r w:rsidR="00971CE1" w:rsidRPr="00F37D86">
        <w:rPr>
          <w:rFonts w:ascii="Times New Roman" w:hAnsi="Times New Roman" w:cs="Times New Roman"/>
        </w:rPr>
        <w:t xml:space="preserve">tedbirlerin toptancı bir </w:t>
      </w:r>
      <w:r w:rsidR="00F37D86" w:rsidRPr="00F37D86">
        <w:rPr>
          <w:rFonts w:ascii="Times New Roman" w:hAnsi="Times New Roman" w:cs="Times New Roman"/>
        </w:rPr>
        <w:t xml:space="preserve">anlayışla </w:t>
      </w:r>
      <w:r w:rsidR="00971CE1" w:rsidRPr="00F37D86">
        <w:rPr>
          <w:rFonts w:ascii="Times New Roman" w:hAnsi="Times New Roman" w:cs="Times New Roman"/>
        </w:rPr>
        <w:t xml:space="preserve">uygulanmasından ziyade, farklı koşulların gözetilmesi </w:t>
      </w:r>
      <w:r w:rsidR="00F37D86">
        <w:rPr>
          <w:rFonts w:ascii="Times New Roman" w:hAnsi="Times New Roman" w:cs="Times New Roman"/>
        </w:rPr>
        <w:t>ve bu alandaki politikaların sürekli gözden geçirilmesi, idarenin tüm işlem ve eylemlerine karşı yargı denetiminin daim</w:t>
      </w:r>
      <w:r w:rsidR="00F047DA">
        <w:rPr>
          <w:rFonts w:ascii="Times New Roman" w:hAnsi="Times New Roman" w:cs="Times New Roman"/>
        </w:rPr>
        <w:t>î</w:t>
      </w:r>
      <w:r w:rsidR="00F37D86">
        <w:rPr>
          <w:rFonts w:ascii="Times New Roman" w:hAnsi="Times New Roman" w:cs="Times New Roman"/>
        </w:rPr>
        <w:t xml:space="preserve"> olarak açık tutulması </w:t>
      </w:r>
      <w:r w:rsidR="00971CE1" w:rsidRPr="00F37D86">
        <w:rPr>
          <w:rFonts w:ascii="Times New Roman" w:hAnsi="Times New Roman" w:cs="Times New Roman"/>
        </w:rPr>
        <w:t>gerek</w:t>
      </w:r>
      <w:r w:rsidR="00F37D86">
        <w:rPr>
          <w:rFonts w:ascii="Times New Roman" w:hAnsi="Times New Roman" w:cs="Times New Roman"/>
        </w:rPr>
        <w:t>lidir. Ancak bu sayede çoğulcu demokratik ilklere, hukukun üstünlüğüne ve insan haklarına saygılı ve bunlarla uyum içinde bir salgın yönetiminden söz e</w:t>
      </w:r>
      <w:r w:rsidR="00F047DA">
        <w:rPr>
          <w:rFonts w:ascii="Times New Roman" w:hAnsi="Times New Roman" w:cs="Times New Roman"/>
        </w:rPr>
        <w:t>tmek mümkün olabilecektir.</w:t>
      </w:r>
    </w:p>
    <w:p w14:paraId="7DD340A3" w14:textId="2C63AE51" w:rsidR="00103448" w:rsidRDefault="00103448" w:rsidP="00503EB4">
      <w:pPr>
        <w:jc w:val="both"/>
        <w:rPr>
          <w:rFonts w:ascii="Times New Roman" w:hAnsi="Times New Roman" w:cs="Times New Roman"/>
        </w:rPr>
      </w:pPr>
    </w:p>
    <w:p w14:paraId="07233212" w14:textId="05A87614" w:rsidR="00103448" w:rsidRDefault="00103448" w:rsidP="00503EB4">
      <w:pPr>
        <w:jc w:val="both"/>
        <w:rPr>
          <w:rFonts w:ascii="Times New Roman" w:hAnsi="Times New Roman" w:cs="Times New Roman"/>
          <w:b/>
          <w:bCs/>
        </w:rPr>
      </w:pPr>
      <w:r w:rsidRPr="00103448">
        <w:rPr>
          <w:rFonts w:ascii="Times New Roman" w:hAnsi="Times New Roman" w:cs="Times New Roman"/>
          <w:b/>
          <w:bCs/>
        </w:rPr>
        <w:t>KAYNAKÇA</w:t>
      </w:r>
    </w:p>
    <w:p w14:paraId="5B3A4148" w14:textId="0F24AB58" w:rsidR="00DB6CDF" w:rsidRDefault="007A253E" w:rsidP="00503EB4">
      <w:pPr>
        <w:jc w:val="both"/>
        <w:rPr>
          <w:rFonts w:ascii="Times New Roman" w:hAnsi="Times New Roman"/>
        </w:rPr>
      </w:pPr>
      <w:r>
        <w:rPr>
          <w:rFonts w:ascii="Times New Roman" w:hAnsi="Times New Roman" w:cs="Times New Roman"/>
          <w:b/>
          <w:bCs/>
        </w:rPr>
        <w:t>I. KİTAPLAR VE MAKALELER</w:t>
      </w:r>
    </w:p>
    <w:p w14:paraId="7EF80FD6" w14:textId="1798B663" w:rsidR="007A253E" w:rsidRDefault="007A253E" w:rsidP="00503EB4">
      <w:pPr>
        <w:jc w:val="both"/>
        <w:rPr>
          <w:rFonts w:ascii="Times New Roman" w:hAnsi="Times New Roman"/>
          <w:lang w:eastAsia="tr-TR"/>
        </w:rPr>
      </w:pPr>
      <w:r w:rsidRPr="00103448">
        <w:rPr>
          <w:rFonts w:ascii="Times New Roman" w:hAnsi="Times New Roman"/>
          <w:lang w:eastAsia="tr-TR"/>
        </w:rPr>
        <w:t xml:space="preserve">Adam </w:t>
      </w:r>
      <w:proofErr w:type="spellStart"/>
      <w:r w:rsidRPr="00103448">
        <w:rPr>
          <w:rFonts w:ascii="Times New Roman" w:hAnsi="Times New Roman"/>
          <w:lang w:eastAsia="tr-TR"/>
        </w:rPr>
        <w:t>Przeworski</w:t>
      </w:r>
      <w:proofErr w:type="spellEnd"/>
      <w:r w:rsidRPr="00103448">
        <w:rPr>
          <w:rFonts w:ascii="Times New Roman" w:hAnsi="Times New Roman"/>
          <w:lang w:eastAsia="tr-TR"/>
        </w:rPr>
        <w:t xml:space="preserve"> &amp; Michael E. </w:t>
      </w:r>
      <w:proofErr w:type="spellStart"/>
      <w:r w:rsidRPr="00103448">
        <w:rPr>
          <w:rFonts w:ascii="Times New Roman" w:hAnsi="Times New Roman"/>
          <w:lang w:eastAsia="tr-TR"/>
        </w:rPr>
        <w:t>Alvarez</w:t>
      </w:r>
      <w:proofErr w:type="spellEnd"/>
      <w:r w:rsidRPr="00103448">
        <w:rPr>
          <w:rFonts w:ascii="Times New Roman" w:hAnsi="Times New Roman"/>
          <w:lang w:eastAsia="tr-TR"/>
        </w:rPr>
        <w:t xml:space="preserve"> &amp; </w:t>
      </w:r>
      <w:proofErr w:type="spellStart"/>
      <w:r w:rsidRPr="00103448">
        <w:rPr>
          <w:rFonts w:ascii="Times New Roman" w:hAnsi="Times New Roman"/>
          <w:lang w:eastAsia="tr-TR"/>
        </w:rPr>
        <w:t>José</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Antonio</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Cheibub</w:t>
      </w:r>
      <w:proofErr w:type="spellEnd"/>
      <w:r w:rsidRPr="00103448">
        <w:rPr>
          <w:rFonts w:ascii="Times New Roman" w:hAnsi="Times New Roman"/>
          <w:lang w:eastAsia="tr-TR"/>
        </w:rPr>
        <w:t xml:space="preserve"> &amp; </w:t>
      </w:r>
      <w:proofErr w:type="spellStart"/>
      <w:r w:rsidRPr="00103448">
        <w:rPr>
          <w:rFonts w:ascii="Times New Roman" w:hAnsi="Times New Roman"/>
          <w:lang w:eastAsia="tr-TR"/>
        </w:rPr>
        <w:t>Fernando</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Limongi</w:t>
      </w:r>
      <w:proofErr w:type="spellEnd"/>
      <w:r w:rsidRPr="00103448">
        <w:rPr>
          <w:rFonts w:ascii="Times New Roman" w:hAnsi="Times New Roman"/>
          <w:lang w:eastAsia="tr-TR"/>
        </w:rPr>
        <w:t xml:space="preserve">, </w:t>
      </w:r>
      <w:proofErr w:type="spellStart"/>
      <w:r w:rsidRPr="007A253E">
        <w:rPr>
          <w:rFonts w:ascii="Times New Roman" w:hAnsi="Times New Roman"/>
          <w:i/>
          <w:iCs/>
          <w:lang w:eastAsia="tr-TR"/>
        </w:rPr>
        <w:t>Democracy</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and</w:t>
      </w:r>
      <w:proofErr w:type="spellEnd"/>
      <w:r w:rsidRPr="007A253E">
        <w:rPr>
          <w:rFonts w:ascii="Times New Roman" w:hAnsi="Times New Roman"/>
          <w:i/>
          <w:iCs/>
          <w:lang w:eastAsia="tr-TR"/>
        </w:rPr>
        <w:t xml:space="preserve"> Development: </w:t>
      </w:r>
      <w:proofErr w:type="spellStart"/>
      <w:r w:rsidRPr="007A253E">
        <w:rPr>
          <w:rFonts w:ascii="Times New Roman" w:hAnsi="Times New Roman"/>
          <w:i/>
          <w:iCs/>
          <w:lang w:eastAsia="tr-TR"/>
        </w:rPr>
        <w:t>Political</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Institutions</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and</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Well-Being</w:t>
      </w:r>
      <w:proofErr w:type="spellEnd"/>
      <w:r w:rsidRPr="007A253E">
        <w:rPr>
          <w:rFonts w:ascii="Times New Roman" w:hAnsi="Times New Roman"/>
          <w:i/>
          <w:iCs/>
          <w:lang w:eastAsia="tr-TR"/>
        </w:rPr>
        <w:t xml:space="preserve"> in </w:t>
      </w:r>
      <w:proofErr w:type="spellStart"/>
      <w:r w:rsidRPr="007A253E">
        <w:rPr>
          <w:rFonts w:ascii="Times New Roman" w:hAnsi="Times New Roman"/>
          <w:i/>
          <w:iCs/>
          <w:lang w:eastAsia="tr-TR"/>
        </w:rPr>
        <w:t>the</w:t>
      </w:r>
      <w:proofErr w:type="spellEnd"/>
      <w:r w:rsidRPr="007A253E">
        <w:rPr>
          <w:rFonts w:ascii="Times New Roman" w:hAnsi="Times New Roman"/>
          <w:i/>
          <w:iCs/>
          <w:lang w:eastAsia="tr-TR"/>
        </w:rPr>
        <w:t xml:space="preserve"> World</w:t>
      </w:r>
      <w:r w:rsidRPr="00103448">
        <w:rPr>
          <w:rFonts w:ascii="Times New Roman" w:hAnsi="Times New Roman"/>
          <w:lang w:eastAsia="tr-TR"/>
        </w:rPr>
        <w:t>, 1950-1990</w:t>
      </w:r>
      <w:r>
        <w:rPr>
          <w:rFonts w:ascii="Times New Roman" w:hAnsi="Times New Roman"/>
          <w:lang w:eastAsia="tr-TR"/>
        </w:rPr>
        <w:t xml:space="preserve">, </w:t>
      </w:r>
      <w:r w:rsidRPr="00103448">
        <w:rPr>
          <w:rFonts w:ascii="Times New Roman" w:hAnsi="Times New Roman"/>
          <w:lang w:eastAsia="tr-TR"/>
        </w:rPr>
        <w:t xml:space="preserve">Cambridge </w:t>
      </w:r>
      <w:proofErr w:type="spellStart"/>
      <w:r w:rsidRPr="00103448">
        <w:rPr>
          <w:rFonts w:ascii="Times New Roman" w:hAnsi="Times New Roman"/>
          <w:lang w:eastAsia="tr-TR"/>
        </w:rPr>
        <w:t>University</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Press</w:t>
      </w:r>
      <w:proofErr w:type="spellEnd"/>
      <w:r w:rsidRPr="00103448">
        <w:rPr>
          <w:rFonts w:ascii="Times New Roman" w:hAnsi="Times New Roman"/>
          <w:lang w:eastAsia="tr-TR"/>
        </w:rPr>
        <w:t>, Cambridge, 2000</w:t>
      </w:r>
      <w:r>
        <w:rPr>
          <w:rFonts w:ascii="Times New Roman" w:hAnsi="Times New Roman"/>
          <w:lang w:eastAsia="tr-TR"/>
        </w:rPr>
        <w:t>.</w:t>
      </w:r>
    </w:p>
    <w:p w14:paraId="0D84764D" w14:textId="77777777" w:rsidR="007A253E" w:rsidRDefault="007A253E" w:rsidP="00503EB4">
      <w:pPr>
        <w:jc w:val="both"/>
        <w:rPr>
          <w:rFonts w:ascii="Times New Roman" w:hAnsi="Times New Roman"/>
          <w:lang w:eastAsia="tr-TR"/>
        </w:rPr>
      </w:pPr>
      <w:proofErr w:type="spellStart"/>
      <w:r w:rsidRPr="00103448">
        <w:rPr>
          <w:rFonts w:ascii="Times New Roman" w:hAnsi="Times New Roman"/>
          <w:lang w:eastAsia="tr-TR"/>
        </w:rPr>
        <w:t>Arend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Lijphart</w:t>
      </w:r>
      <w:proofErr w:type="spellEnd"/>
      <w:r w:rsidRPr="00103448">
        <w:rPr>
          <w:rFonts w:ascii="Times New Roman" w:hAnsi="Times New Roman"/>
          <w:lang w:eastAsia="tr-TR"/>
        </w:rPr>
        <w:t xml:space="preserve">, </w:t>
      </w:r>
      <w:proofErr w:type="spellStart"/>
      <w:r w:rsidRPr="007A253E">
        <w:rPr>
          <w:rFonts w:ascii="Times New Roman" w:hAnsi="Times New Roman"/>
          <w:i/>
          <w:iCs/>
          <w:lang w:eastAsia="tr-TR"/>
        </w:rPr>
        <w:t>Patterns</w:t>
      </w:r>
      <w:proofErr w:type="spellEnd"/>
      <w:r w:rsidRPr="007A253E">
        <w:rPr>
          <w:rFonts w:ascii="Times New Roman" w:hAnsi="Times New Roman"/>
          <w:i/>
          <w:iCs/>
          <w:lang w:eastAsia="tr-TR"/>
        </w:rPr>
        <w:t xml:space="preserve"> of </w:t>
      </w:r>
      <w:proofErr w:type="spellStart"/>
      <w:r w:rsidRPr="007A253E">
        <w:rPr>
          <w:rFonts w:ascii="Times New Roman" w:hAnsi="Times New Roman"/>
          <w:i/>
          <w:iCs/>
          <w:lang w:eastAsia="tr-TR"/>
        </w:rPr>
        <w:t>Democracy</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Government</w:t>
      </w:r>
      <w:proofErr w:type="spellEnd"/>
      <w:r w:rsidRPr="007A253E">
        <w:rPr>
          <w:rFonts w:ascii="Times New Roman" w:hAnsi="Times New Roman"/>
          <w:i/>
          <w:iCs/>
          <w:lang w:eastAsia="tr-TR"/>
        </w:rPr>
        <w:t xml:space="preserve"> Forms </w:t>
      </w:r>
      <w:proofErr w:type="spellStart"/>
      <w:r w:rsidRPr="007A253E">
        <w:rPr>
          <w:rFonts w:ascii="Times New Roman" w:hAnsi="Times New Roman"/>
          <w:i/>
          <w:iCs/>
          <w:lang w:eastAsia="tr-TR"/>
        </w:rPr>
        <w:t>and</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Performance</w:t>
      </w:r>
      <w:proofErr w:type="spellEnd"/>
      <w:r w:rsidRPr="007A253E">
        <w:rPr>
          <w:rFonts w:ascii="Times New Roman" w:hAnsi="Times New Roman"/>
          <w:i/>
          <w:iCs/>
          <w:lang w:eastAsia="tr-TR"/>
        </w:rPr>
        <w:t xml:space="preserve"> in </w:t>
      </w:r>
      <w:proofErr w:type="spellStart"/>
      <w:r w:rsidRPr="007A253E">
        <w:rPr>
          <w:rFonts w:ascii="Times New Roman" w:hAnsi="Times New Roman"/>
          <w:i/>
          <w:iCs/>
          <w:lang w:eastAsia="tr-TR"/>
        </w:rPr>
        <w:t>Thirty-Six</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Countries</w:t>
      </w:r>
      <w:proofErr w:type="spellEnd"/>
      <w:r w:rsidRPr="00103448">
        <w:rPr>
          <w:rFonts w:ascii="Times New Roman" w:hAnsi="Times New Roman"/>
          <w:lang w:eastAsia="tr-TR"/>
        </w:rPr>
        <w:t xml:space="preserve">, Yale </w:t>
      </w:r>
      <w:proofErr w:type="spellStart"/>
      <w:r w:rsidRPr="00103448">
        <w:rPr>
          <w:rFonts w:ascii="Times New Roman" w:hAnsi="Times New Roman"/>
          <w:lang w:eastAsia="tr-TR"/>
        </w:rPr>
        <w:t>University</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Press</w:t>
      </w:r>
      <w:proofErr w:type="spellEnd"/>
      <w:r w:rsidRPr="00103448">
        <w:rPr>
          <w:rFonts w:ascii="Times New Roman" w:hAnsi="Times New Roman"/>
          <w:lang w:eastAsia="tr-TR"/>
        </w:rPr>
        <w:t xml:space="preserve">, 2. </w:t>
      </w:r>
      <w:proofErr w:type="spellStart"/>
      <w:r w:rsidRPr="00103448">
        <w:rPr>
          <w:rFonts w:ascii="Times New Roman" w:hAnsi="Times New Roman"/>
          <w:lang w:eastAsia="tr-TR"/>
        </w:rPr>
        <w:t>edt</w:t>
      </w:r>
      <w:proofErr w:type="spellEnd"/>
      <w:r w:rsidRPr="00103448">
        <w:rPr>
          <w:rFonts w:ascii="Times New Roman" w:hAnsi="Times New Roman"/>
          <w:lang w:eastAsia="tr-TR"/>
        </w:rPr>
        <w:t xml:space="preserve">., New </w:t>
      </w:r>
      <w:proofErr w:type="spellStart"/>
      <w:r w:rsidRPr="00103448">
        <w:rPr>
          <w:rFonts w:ascii="Times New Roman" w:hAnsi="Times New Roman"/>
          <w:lang w:eastAsia="tr-TR"/>
        </w:rPr>
        <w:t>Haven</w:t>
      </w:r>
      <w:proofErr w:type="spellEnd"/>
      <w:r w:rsidRPr="00103448">
        <w:rPr>
          <w:rFonts w:ascii="Times New Roman" w:hAnsi="Times New Roman"/>
          <w:lang w:eastAsia="tr-TR"/>
        </w:rPr>
        <w:t>/</w:t>
      </w:r>
      <w:proofErr w:type="spellStart"/>
      <w:r w:rsidRPr="00103448">
        <w:rPr>
          <w:rFonts w:ascii="Times New Roman" w:hAnsi="Times New Roman"/>
          <w:lang w:eastAsia="tr-TR"/>
        </w:rPr>
        <w:t>London</w:t>
      </w:r>
      <w:proofErr w:type="spellEnd"/>
      <w:r w:rsidRPr="00103448">
        <w:rPr>
          <w:rFonts w:ascii="Times New Roman" w:hAnsi="Times New Roman"/>
          <w:lang w:eastAsia="tr-TR"/>
        </w:rPr>
        <w:t>, 2012</w:t>
      </w:r>
      <w:r>
        <w:rPr>
          <w:rFonts w:ascii="Times New Roman" w:hAnsi="Times New Roman"/>
          <w:lang w:eastAsia="tr-TR"/>
        </w:rPr>
        <w:t>.</w:t>
      </w:r>
      <w:r w:rsidRPr="00103448">
        <w:rPr>
          <w:rFonts w:ascii="Times New Roman" w:hAnsi="Times New Roman"/>
          <w:lang w:eastAsia="tr-TR"/>
        </w:rPr>
        <w:t xml:space="preserve"> </w:t>
      </w:r>
    </w:p>
    <w:p w14:paraId="2DBB12E8" w14:textId="77777777" w:rsidR="007A253E" w:rsidRPr="00103448" w:rsidRDefault="007A253E" w:rsidP="00503EB4">
      <w:pPr>
        <w:jc w:val="both"/>
        <w:rPr>
          <w:rFonts w:ascii="Times New Roman" w:hAnsi="Times New Roman"/>
          <w:lang w:eastAsia="tr-TR"/>
        </w:rPr>
      </w:pPr>
      <w:proofErr w:type="spellStart"/>
      <w:r w:rsidRPr="00103448">
        <w:rPr>
          <w:rFonts w:ascii="Times New Roman" w:hAnsi="Times New Roman"/>
          <w:lang w:eastAsia="tr-TR"/>
        </w:rPr>
        <w:t>Brian</w:t>
      </w:r>
      <w:proofErr w:type="spellEnd"/>
      <w:r w:rsidRPr="00103448">
        <w:rPr>
          <w:rFonts w:ascii="Times New Roman" w:hAnsi="Times New Roman"/>
          <w:lang w:eastAsia="tr-TR"/>
        </w:rPr>
        <w:t xml:space="preserve"> Z. </w:t>
      </w:r>
      <w:proofErr w:type="spellStart"/>
      <w:r w:rsidRPr="00103448">
        <w:rPr>
          <w:rFonts w:ascii="Times New Roman" w:hAnsi="Times New Roman"/>
          <w:lang w:eastAsia="tr-TR"/>
        </w:rPr>
        <w:t>Tamanaha</w:t>
      </w:r>
      <w:proofErr w:type="spellEnd"/>
      <w:r w:rsidRPr="00103448">
        <w:rPr>
          <w:rFonts w:ascii="Times New Roman" w:hAnsi="Times New Roman"/>
          <w:lang w:eastAsia="tr-TR"/>
        </w:rPr>
        <w:t xml:space="preserve">, </w:t>
      </w:r>
      <w:proofErr w:type="spellStart"/>
      <w:r w:rsidRPr="007A253E">
        <w:rPr>
          <w:rFonts w:ascii="Times New Roman" w:hAnsi="Times New Roman"/>
          <w:i/>
          <w:iCs/>
          <w:lang w:eastAsia="tr-TR"/>
        </w:rPr>
        <w:t>Law</w:t>
      </w:r>
      <w:proofErr w:type="spellEnd"/>
      <w:r w:rsidRPr="007A253E">
        <w:rPr>
          <w:rFonts w:ascii="Times New Roman" w:hAnsi="Times New Roman"/>
          <w:i/>
          <w:iCs/>
          <w:lang w:eastAsia="tr-TR"/>
        </w:rPr>
        <w:t xml:space="preserve"> as a </w:t>
      </w:r>
      <w:proofErr w:type="spellStart"/>
      <w:r w:rsidRPr="007A253E">
        <w:rPr>
          <w:rFonts w:ascii="Times New Roman" w:hAnsi="Times New Roman"/>
          <w:i/>
          <w:iCs/>
          <w:lang w:eastAsia="tr-TR"/>
        </w:rPr>
        <w:t>Means</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to</w:t>
      </w:r>
      <w:proofErr w:type="spellEnd"/>
      <w:r w:rsidRPr="007A253E">
        <w:rPr>
          <w:rFonts w:ascii="Times New Roman" w:hAnsi="Times New Roman"/>
          <w:i/>
          <w:iCs/>
          <w:lang w:eastAsia="tr-TR"/>
        </w:rPr>
        <w:t xml:space="preserve"> an </w:t>
      </w:r>
      <w:proofErr w:type="spellStart"/>
      <w:r w:rsidRPr="007A253E">
        <w:rPr>
          <w:rFonts w:ascii="Times New Roman" w:hAnsi="Times New Roman"/>
          <w:i/>
          <w:iCs/>
          <w:lang w:eastAsia="tr-TR"/>
        </w:rPr>
        <w:t>End</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Threat</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to</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the</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Rule</w:t>
      </w:r>
      <w:proofErr w:type="spellEnd"/>
      <w:r w:rsidRPr="007A253E">
        <w:rPr>
          <w:rFonts w:ascii="Times New Roman" w:hAnsi="Times New Roman"/>
          <w:i/>
          <w:iCs/>
          <w:lang w:eastAsia="tr-TR"/>
        </w:rPr>
        <w:t xml:space="preserve"> of </w:t>
      </w:r>
      <w:proofErr w:type="spellStart"/>
      <w:r w:rsidRPr="007A253E">
        <w:rPr>
          <w:rFonts w:ascii="Times New Roman" w:hAnsi="Times New Roman"/>
          <w:i/>
          <w:iCs/>
          <w:lang w:eastAsia="tr-TR"/>
        </w:rPr>
        <w:t>Law</w:t>
      </w:r>
      <w:proofErr w:type="spellEnd"/>
      <w:r w:rsidRPr="00103448">
        <w:rPr>
          <w:rFonts w:ascii="Times New Roman" w:hAnsi="Times New Roman"/>
          <w:lang w:eastAsia="tr-TR"/>
        </w:rPr>
        <w:t xml:space="preserve">, Cambridge </w:t>
      </w:r>
      <w:proofErr w:type="spellStart"/>
      <w:r w:rsidRPr="00103448">
        <w:rPr>
          <w:rFonts w:ascii="Times New Roman" w:hAnsi="Times New Roman"/>
          <w:lang w:eastAsia="tr-TR"/>
        </w:rPr>
        <w:t>University</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Press</w:t>
      </w:r>
      <w:proofErr w:type="spellEnd"/>
      <w:r w:rsidRPr="00103448">
        <w:rPr>
          <w:rFonts w:ascii="Times New Roman" w:hAnsi="Times New Roman"/>
          <w:lang w:eastAsia="tr-TR"/>
        </w:rPr>
        <w:t xml:space="preserve">, New York, 2006. </w:t>
      </w:r>
    </w:p>
    <w:p w14:paraId="7CD12B30" w14:textId="77777777" w:rsidR="007A253E" w:rsidRPr="00103448" w:rsidRDefault="007A253E" w:rsidP="00503EB4">
      <w:pPr>
        <w:jc w:val="both"/>
        <w:rPr>
          <w:rFonts w:ascii="Times New Roman" w:hAnsi="Times New Roman"/>
          <w:lang w:eastAsia="tr-TR"/>
        </w:rPr>
      </w:pPr>
      <w:r w:rsidRPr="00103448">
        <w:rPr>
          <w:rFonts w:ascii="Times New Roman" w:hAnsi="Times New Roman"/>
          <w:lang w:eastAsia="tr-TR"/>
        </w:rPr>
        <w:t>Buket Ökten Sipahioğlu, “Cov</w:t>
      </w:r>
      <w:r>
        <w:rPr>
          <w:rFonts w:ascii="Times New Roman" w:hAnsi="Times New Roman"/>
          <w:lang w:eastAsia="tr-TR"/>
        </w:rPr>
        <w:t>i</w:t>
      </w:r>
      <w:r w:rsidRPr="00103448">
        <w:rPr>
          <w:rFonts w:ascii="Times New Roman" w:hAnsi="Times New Roman"/>
          <w:lang w:eastAsia="tr-TR"/>
        </w:rPr>
        <w:t xml:space="preserve">d-19 Küresel Salgını Döneminde Hak ve Özgürlüklerin Kısıtlanması: Avrupa Birliği Örneği”, </w:t>
      </w:r>
      <w:r w:rsidRPr="007A253E">
        <w:rPr>
          <w:rFonts w:ascii="Times New Roman" w:hAnsi="Times New Roman"/>
          <w:i/>
          <w:iCs/>
          <w:lang w:eastAsia="tr-TR"/>
        </w:rPr>
        <w:t>Türkiye İnsan Hakları ve Eşitlik Kurumu Akademik Dergisi</w:t>
      </w:r>
      <w:r w:rsidRPr="00103448">
        <w:rPr>
          <w:rFonts w:ascii="Times New Roman" w:hAnsi="Times New Roman"/>
          <w:lang w:eastAsia="tr-TR"/>
        </w:rPr>
        <w:t>, C. 4, S. 7, 202</w:t>
      </w:r>
      <w:r>
        <w:rPr>
          <w:rFonts w:ascii="Times New Roman" w:hAnsi="Times New Roman"/>
          <w:lang w:eastAsia="tr-TR"/>
        </w:rPr>
        <w:t>1.</w:t>
      </w:r>
    </w:p>
    <w:p w14:paraId="7F72D9A1" w14:textId="77777777" w:rsidR="007A253E" w:rsidRDefault="007A253E" w:rsidP="00503EB4">
      <w:pPr>
        <w:jc w:val="both"/>
        <w:rPr>
          <w:rFonts w:ascii="Times New Roman" w:hAnsi="Times New Roman"/>
          <w:lang w:eastAsia="tr-TR"/>
        </w:rPr>
      </w:pPr>
      <w:r>
        <w:rPr>
          <w:rFonts w:ascii="Times New Roman" w:hAnsi="Times New Roman"/>
          <w:lang w:eastAsia="tr-TR"/>
        </w:rPr>
        <w:t>B</w:t>
      </w:r>
      <w:r w:rsidRPr="00103448">
        <w:rPr>
          <w:rFonts w:ascii="Times New Roman" w:hAnsi="Times New Roman"/>
          <w:lang w:eastAsia="tr-TR"/>
        </w:rPr>
        <w:t xml:space="preserve">ülent </w:t>
      </w:r>
      <w:proofErr w:type="spellStart"/>
      <w:r w:rsidRPr="00103448">
        <w:rPr>
          <w:rFonts w:ascii="Times New Roman" w:hAnsi="Times New Roman"/>
          <w:lang w:eastAsia="tr-TR"/>
        </w:rPr>
        <w:t>Tanör</w:t>
      </w:r>
      <w:proofErr w:type="spellEnd"/>
      <w:r w:rsidRPr="00103448">
        <w:rPr>
          <w:rFonts w:ascii="Times New Roman" w:hAnsi="Times New Roman"/>
          <w:lang w:eastAsia="tr-TR"/>
        </w:rPr>
        <w:t xml:space="preserve"> &amp; Necmi Yüzbaşıoğlu, </w:t>
      </w:r>
      <w:r w:rsidRPr="007A253E">
        <w:rPr>
          <w:rFonts w:ascii="Times New Roman" w:hAnsi="Times New Roman"/>
          <w:i/>
          <w:iCs/>
          <w:lang w:eastAsia="tr-TR"/>
        </w:rPr>
        <w:t>1982 Anayasasına Göre Türk Anayasa Hukuku</w:t>
      </w:r>
      <w:r w:rsidRPr="00103448">
        <w:rPr>
          <w:rFonts w:ascii="Times New Roman" w:hAnsi="Times New Roman"/>
          <w:lang w:eastAsia="tr-TR"/>
        </w:rPr>
        <w:t>, 10. Bası, İstanbul, Beta, 2011</w:t>
      </w:r>
      <w:r>
        <w:rPr>
          <w:rFonts w:ascii="Times New Roman" w:hAnsi="Times New Roman"/>
          <w:lang w:eastAsia="tr-TR"/>
        </w:rPr>
        <w:t>.</w:t>
      </w:r>
    </w:p>
    <w:p w14:paraId="7413E5CE" w14:textId="77777777" w:rsidR="007A253E" w:rsidRDefault="007A253E" w:rsidP="00503EB4">
      <w:pPr>
        <w:jc w:val="both"/>
        <w:rPr>
          <w:rFonts w:ascii="Times New Roman" w:hAnsi="Times New Roman"/>
          <w:lang w:eastAsia="tr-TR"/>
        </w:rPr>
      </w:pPr>
      <w:r w:rsidRPr="00103448">
        <w:rPr>
          <w:rFonts w:ascii="Times New Roman" w:hAnsi="Times New Roman"/>
          <w:lang w:eastAsia="tr-TR"/>
        </w:rPr>
        <w:t xml:space="preserve">Ergun Özbudun, </w:t>
      </w:r>
      <w:r w:rsidRPr="007A253E">
        <w:rPr>
          <w:rFonts w:ascii="Times New Roman" w:hAnsi="Times New Roman"/>
          <w:i/>
          <w:iCs/>
          <w:lang w:eastAsia="tr-TR"/>
        </w:rPr>
        <w:t>Türk Anayasa Hukuku, Yetkin Yayınları</w:t>
      </w:r>
      <w:r w:rsidRPr="00103448">
        <w:rPr>
          <w:rFonts w:ascii="Times New Roman" w:hAnsi="Times New Roman"/>
          <w:lang w:eastAsia="tr-TR"/>
        </w:rPr>
        <w:t>, 18. Bası, Ankara, 2018</w:t>
      </w:r>
      <w:r>
        <w:rPr>
          <w:rFonts w:ascii="Times New Roman" w:hAnsi="Times New Roman"/>
          <w:lang w:eastAsia="tr-TR"/>
        </w:rPr>
        <w:t>.</w:t>
      </w:r>
    </w:p>
    <w:p w14:paraId="3A63F477" w14:textId="77777777" w:rsidR="007A253E" w:rsidRPr="00103448" w:rsidRDefault="007A253E" w:rsidP="00503EB4">
      <w:pPr>
        <w:jc w:val="both"/>
        <w:rPr>
          <w:rFonts w:ascii="Times New Roman" w:hAnsi="Times New Roman"/>
          <w:lang w:eastAsia="tr-TR"/>
        </w:rPr>
      </w:pPr>
      <w:r w:rsidRPr="00103448">
        <w:rPr>
          <w:rFonts w:ascii="Times New Roman" w:hAnsi="Times New Roman"/>
          <w:lang w:eastAsia="tr-TR"/>
        </w:rPr>
        <w:t xml:space="preserve">Fazıl Sağlam, </w:t>
      </w:r>
      <w:r w:rsidRPr="007A253E">
        <w:rPr>
          <w:rFonts w:ascii="Times New Roman" w:hAnsi="Times New Roman"/>
          <w:i/>
          <w:iCs/>
          <w:lang w:eastAsia="tr-TR"/>
        </w:rPr>
        <w:t>Temel Hakların Sınırlanması ve Özü</w:t>
      </w:r>
      <w:r w:rsidRPr="00103448">
        <w:rPr>
          <w:rFonts w:ascii="Times New Roman" w:hAnsi="Times New Roman"/>
          <w:lang w:eastAsia="tr-TR"/>
        </w:rPr>
        <w:t>, AÜSBF Yayınları, Ankara, 1982, s. 129.</w:t>
      </w:r>
    </w:p>
    <w:p w14:paraId="27A650F9" w14:textId="77777777" w:rsidR="007A253E" w:rsidRDefault="007A253E" w:rsidP="00503EB4">
      <w:pPr>
        <w:jc w:val="both"/>
        <w:rPr>
          <w:rFonts w:ascii="Times New Roman" w:hAnsi="Times New Roman"/>
          <w:lang w:eastAsia="tr-TR"/>
        </w:rPr>
      </w:pPr>
      <w:proofErr w:type="spellStart"/>
      <w:r w:rsidRPr="00103448">
        <w:rPr>
          <w:rFonts w:ascii="Times New Roman" w:hAnsi="Times New Roman"/>
          <w:lang w:eastAsia="tr-TR"/>
        </w:rPr>
        <w:t>Fruzsina</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Gárdos-Orosz</w:t>
      </w:r>
      <w:proofErr w:type="spellEnd"/>
      <w:r w:rsidRPr="00103448">
        <w:rPr>
          <w:rFonts w:ascii="Times New Roman" w:hAnsi="Times New Roman"/>
          <w:lang w:eastAsia="tr-TR"/>
        </w:rPr>
        <w:t xml:space="preserve">, “Covid-19 </w:t>
      </w:r>
      <w:proofErr w:type="spellStart"/>
      <w:r w:rsidRPr="00103448">
        <w:rPr>
          <w:rFonts w:ascii="Times New Roman" w:hAnsi="Times New Roman"/>
          <w:lang w:eastAsia="tr-TR"/>
        </w:rPr>
        <w:t>and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Responsiveness</w:t>
      </w:r>
      <w:proofErr w:type="spellEnd"/>
      <w:r w:rsidRPr="00103448">
        <w:rPr>
          <w:rFonts w:ascii="Times New Roman" w:hAnsi="Times New Roman"/>
          <w:lang w:eastAsia="tr-TR"/>
        </w:rPr>
        <w:t xml:space="preserve"> of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Hungarian</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Constitutional</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System</w:t>
      </w:r>
      <w:proofErr w:type="spellEnd"/>
      <w:r w:rsidRPr="00103448">
        <w:rPr>
          <w:rFonts w:ascii="Times New Roman" w:hAnsi="Times New Roman"/>
          <w:lang w:eastAsia="tr-TR"/>
        </w:rPr>
        <w:t xml:space="preserve">”, </w:t>
      </w:r>
      <w:r w:rsidRPr="007A253E">
        <w:rPr>
          <w:rFonts w:ascii="Times New Roman" w:hAnsi="Times New Roman"/>
          <w:i/>
          <w:iCs/>
          <w:lang w:eastAsia="tr-TR"/>
        </w:rPr>
        <w:t xml:space="preserve">Covid-19 </w:t>
      </w:r>
      <w:proofErr w:type="spellStart"/>
      <w:r w:rsidRPr="007A253E">
        <w:rPr>
          <w:rFonts w:ascii="Times New Roman" w:hAnsi="Times New Roman"/>
          <w:i/>
          <w:iCs/>
          <w:lang w:eastAsia="tr-TR"/>
        </w:rPr>
        <w:t>and</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Constitutional</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Law</w:t>
      </w:r>
      <w:proofErr w:type="spellEnd"/>
      <w:r w:rsidRPr="00103448">
        <w:rPr>
          <w:rFonts w:ascii="Times New Roman" w:hAnsi="Times New Roman"/>
          <w:lang w:eastAsia="tr-TR"/>
        </w:rPr>
        <w:t xml:space="preserve"> (ed. </w:t>
      </w:r>
      <w:proofErr w:type="spellStart"/>
      <w:r w:rsidRPr="00103448">
        <w:rPr>
          <w:rFonts w:ascii="Times New Roman" w:hAnsi="Times New Roman"/>
          <w:lang w:eastAsia="tr-TR"/>
        </w:rPr>
        <w:t>Serna</w:t>
      </w:r>
      <w:proofErr w:type="spellEnd"/>
      <w:r w:rsidRPr="00103448">
        <w:rPr>
          <w:rFonts w:ascii="Times New Roman" w:hAnsi="Times New Roman"/>
          <w:lang w:eastAsia="tr-TR"/>
        </w:rPr>
        <w:t xml:space="preserve"> de la </w:t>
      </w:r>
      <w:proofErr w:type="spellStart"/>
      <w:r w:rsidRPr="00103448">
        <w:rPr>
          <w:rFonts w:ascii="Times New Roman" w:hAnsi="Times New Roman"/>
          <w:lang w:eastAsia="tr-TR"/>
        </w:rPr>
        <w:t>Garza</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José</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María</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Instituto</w:t>
      </w:r>
      <w:proofErr w:type="spellEnd"/>
      <w:r w:rsidRPr="00103448">
        <w:rPr>
          <w:rFonts w:ascii="Times New Roman" w:hAnsi="Times New Roman"/>
          <w:lang w:eastAsia="tr-TR"/>
        </w:rPr>
        <w:t xml:space="preserve"> De </w:t>
      </w:r>
      <w:proofErr w:type="spellStart"/>
      <w:r w:rsidRPr="00103448">
        <w:rPr>
          <w:rFonts w:ascii="Times New Roman" w:hAnsi="Times New Roman"/>
          <w:lang w:eastAsia="tr-TR"/>
        </w:rPr>
        <w:t>Investigaciones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Jurídicas</w:t>
      </w:r>
      <w:proofErr w:type="spellEnd"/>
      <w:r w:rsidRPr="00103448">
        <w:rPr>
          <w:rFonts w:ascii="Times New Roman" w:hAnsi="Times New Roman"/>
          <w:lang w:eastAsia="tr-TR"/>
        </w:rPr>
        <w:t>, 2020</w:t>
      </w:r>
      <w:r>
        <w:rPr>
          <w:rFonts w:ascii="Times New Roman" w:hAnsi="Times New Roman"/>
          <w:lang w:eastAsia="tr-TR"/>
        </w:rPr>
        <w:t>.</w:t>
      </w:r>
    </w:p>
    <w:p w14:paraId="327D2ED5" w14:textId="7A4088E6" w:rsidR="007A253E" w:rsidRDefault="007A253E" w:rsidP="00503EB4">
      <w:pPr>
        <w:jc w:val="both"/>
        <w:rPr>
          <w:rFonts w:ascii="Times New Roman" w:hAnsi="Times New Roman"/>
          <w:lang w:eastAsia="tr-TR"/>
        </w:rPr>
      </w:pPr>
      <w:proofErr w:type="spellStart"/>
      <w:r w:rsidRPr="00103448">
        <w:rPr>
          <w:rFonts w:ascii="Times New Roman" w:hAnsi="Times New Roman"/>
          <w:lang w:eastAsia="tr-TR"/>
        </w:rPr>
        <w:t>Gábor</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Halmai</w:t>
      </w:r>
      <w:proofErr w:type="spellEnd"/>
      <w:r w:rsidRPr="00103448">
        <w:rPr>
          <w:rFonts w:ascii="Times New Roman" w:hAnsi="Times New Roman"/>
          <w:lang w:eastAsia="tr-TR"/>
        </w:rPr>
        <w:t xml:space="preserve">, </w:t>
      </w:r>
      <w:r>
        <w:rPr>
          <w:rFonts w:ascii="Times New Roman" w:hAnsi="Times New Roman"/>
          <w:lang w:eastAsia="tr-TR"/>
        </w:rPr>
        <w:t>“</w:t>
      </w:r>
      <w:r w:rsidRPr="00103448">
        <w:rPr>
          <w:rFonts w:ascii="Times New Roman" w:hAnsi="Times New Roman"/>
          <w:lang w:eastAsia="tr-TR"/>
        </w:rPr>
        <w:t xml:space="preserve">How COVID-19 </w:t>
      </w:r>
      <w:proofErr w:type="spellStart"/>
      <w:r w:rsidRPr="00103448">
        <w:rPr>
          <w:rFonts w:ascii="Times New Roman" w:hAnsi="Times New Roman"/>
          <w:lang w:eastAsia="tr-TR"/>
        </w:rPr>
        <w:t>Unveils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True </w:t>
      </w:r>
      <w:proofErr w:type="spellStart"/>
      <w:r w:rsidRPr="00103448">
        <w:rPr>
          <w:rFonts w:ascii="Times New Roman" w:hAnsi="Times New Roman"/>
          <w:lang w:eastAsia="tr-TR"/>
        </w:rPr>
        <w:t>Autocrats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Viktor</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Orbán’s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Ermächtigungsgesetz</w:t>
      </w:r>
      <w:proofErr w:type="spellEnd"/>
      <w:r>
        <w:rPr>
          <w:rFonts w:ascii="Times New Roman" w:hAnsi="Times New Roman"/>
          <w:lang w:eastAsia="tr-TR"/>
        </w:rPr>
        <w:t>”</w:t>
      </w:r>
      <w:r w:rsidRPr="00103448">
        <w:rPr>
          <w:rFonts w:ascii="Times New Roman" w:hAnsi="Times New Roman"/>
          <w:lang w:eastAsia="tr-TR"/>
        </w:rPr>
        <w:t xml:space="preserve">, </w:t>
      </w:r>
      <w:r w:rsidRPr="007A253E">
        <w:rPr>
          <w:rFonts w:ascii="Times New Roman" w:hAnsi="Times New Roman"/>
          <w:i/>
          <w:iCs/>
          <w:lang w:eastAsia="tr-TR"/>
        </w:rPr>
        <w:t xml:space="preserve">International </w:t>
      </w:r>
      <w:proofErr w:type="spellStart"/>
      <w:r w:rsidRPr="007A253E">
        <w:rPr>
          <w:rFonts w:ascii="Times New Roman" w:hAnsi="Times New Roman"/>
          <w:i/>
          <w:iCs/>
          <w:lang w:eastAsia="tr-TR"/>
        </w:rPr>
        <w:t>Journal</w:t>
      </w:r>
      <w:proofErr w:type="spellEnd"/>
      <w:r w:rsidRPr="007A253E">
        <w:rPr>
          <w:rFonts w:ascii="Times New Roman" w:hAnsi="Times New Roman"/>
          <w:i/>
          <w:iCs/>
          <w:lang w:eastAsia="tr-TR"/>
        </w:rPr>
        <w:t xml:space="preserve"> of </w:t>
      </w:r>
      <w:proofErr w:type="spellStart"/>
      <w:r w:rsidRPr="007A253E">
        <w:rPr>
          <w:rFonts w:ascii="Times New Roman" w:hAnsi="Times New Roman"/>
          <w:i/>
          <w:iCs/>
          <w:lang w:eastAsia="tr-TR"/>
        </w:rPr>
        <w:t>Constitutional</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Law</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Blog</w:t>
      </w:r>
      <w:proofErr w:type="spellEnd"/>
      <w:r w:rsidRPr="00103448">
        <w:rPr>
          <w:rFonts w:ascii="Times New Roman" w:hAnsi="Times New Roman"/>
          <w:lang w:eastAsia="tr-TR"/>
        </w:rPr>
        <w:t>, Apr</w:t>
      </w:r>
      <w:r>
        <w:rPr>
          <w:rFonts w:ascii="Times New Roman" w:hAnsi="Times New Roman"/>
          <w:lang w:eastAsia="tr-TR"/>
        </w:rPr>
        <w:t>il</w:t>
      </w:r>
      <w:r w:rsidRPr="00103448">
        <w:rPr>
          <w:rFonts w:ascii="Times New Roman" w:hAnsi="Times New Roman"/>
          <w:lang w:eastAsia="tr-TR"/>
        </w:rPr>
        <w:t xml:space="preserve"> 1, 2020</w:t>
      </w:r>
      <w:r>
        <w:rPr>
          <w:rFonts w:ascii="Times New Roman" w:hAnsi="Times New Roman"/>
          <w:lang w:eastAsia="tr-TR"/>
        </w:rPr>
        <w:t>.</w:t>
      </w:r>
    </w:p>
    <w:p w14:paraId="077A7B12" w14:textId="77777777" w:rsidR="007A253E" w:rsidRPr="00103448" w:rsidRDefault="007A253E" w:rsidP="00503EB4">
      <w:pPr>
        <w:jc w:val="both"/>
        <w:rPr>
          <w:rFonts w:ascii="Times New Roman" w:hAnsi="Times New Roman"/>
          <w:lang w:eastAsia="tr-TR"/>
        </w:rPr>
      </w:pPr>
      <w:proofErr w:type="spellStart"/>
      <w:r w:rsidRPr="00103448">
        <w:rPr>
          <w:rFonts w:ascii="Times New Roman" w:hAnsi="Times New Roman"/>
          <w:lang w:eastAsia="tr-TR"/>
        </w:rPr>
        <w:t>Jonathan</w:t>
      </w:r>
      <w:proofErr w:type="spellEnd"/>
      <w:r w:rsidRPr="00103448">
        <w:rPr>
          <w:rFonts w:ascii="Times New Roman" w:hAnsi="Times New Roman"/>
          <w:lang w:eastAsia="tr-TR"/>
        </w:rPr>
        <w:t xml:space="preserve"> M. Mann </w:t>
      </w:r>
      <w:r w:rsidRPr="007A253E">
        <w:rPr>
          <w:rFonts w:ascii="Times New Roman" w:hAnsi="Times New Roman"/>
          <w:i/>
          <w:iCs/>
          <w:lang w:eastAsia="tr-TR"/>
        </w:rPr>
        <w:t xml:space="preserve">et. </w:t>
      </w:r>
      <w:proofErr w:type="gramStart"/>
      <w:r w:rsidRPr="007A253E">
        <w:rPr>
          <w:rFonts w:ascii="Times New Roman" w:hAnsi="Times New Roman"/>
          <w:i/>
          <w:iCs/>
          <w:lang w:eastAsia="tr-TR"/>
        </w:rPr>
        <w:t>al</w:t>
      </w:r>
      <w:proofErr w:type="gramEnd"/>
      <w:r w:rsidRPr="00103448">
        <w:rPr>
          <w:rFonts w:ascii="Times New Roman" w:hAnsi="Times New Roman"/>
          <w:lang w:eastAsia="tr-TR"/>
        </w:rPr>
        <w:t>., “</w:t>
      </w:r>
      <w:proofErr w:type="spellStart"/>
      <w:r w:rsidRPr="00103448">
        <w:rPr>
          <w:rFonts w:ascii="Times New Roman" w:hAnsi="Times New Roman"/>
          <w:lang w:eastAsia="tr-TR"/>
        </w:rPr>
        <w:t>Health</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and</w:t>
      </w:r>
      <w:proofErr w:type="spellEnd"/>
      <w:r w:rsidRPr="00103448">
        <w:rPr>
          <w:rFonts w:ascii="Times New Roman" w:hAnsi="Times New Roman"/>
          <w:lang w:eastAsia="tr-TR"/>
        </w:rPr>
        <w:t xml:space="preserve"> Human </w:t>
      </w:r>
      <w:proofErr w:type="spellStart"/>
      <w:r w:rsidRPr="00103448">
        <w:rPr>
          <w:rFonts w:ascii="Times New Roman" w:hAnsi="Times New Roman"/>
          <w:lang w:eastAsia="tr-TR"/>
        </w:rPr>
        <w:t>Rights</w:t>
      </w:r>
      <w:proofErr w:type="spellEnd"/>
      <w:r w:rsidRPr="00103448">
        <w:rPr>
          <w:rFonts w:ascii="Times New Roman" w:hAnsi="Times New Roman"/>
          <w:lang w:eastAsia="tr-TR"/>
        </w:rPr>
        <w:t xml:space="preserve">”, </w:t>
      </w:r>
      <w:proofErr w:type="spellStart"/>
      <w:r w:rsidRPr="007A253E">
        <w:rPr>
          <w:rFonts w:ascii="Times New Roman" w:hAnsi="Times New Roman"/>
          <w:i/>
          <w:iCs/>
          <w:lang w:eastAsia="tr-TR"/>
        </w:rPr>
        <w:t>Health</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and</w:t>
      </w:r>
      <w:proofErr w:type="spellEnd"/>
      <w:r w:rsidRPr="007A253E">
        <w:rPr>
          <w:rFonts w:ascii="Times New Roman" w:hAnsi="Times New Roman"/>
          <w:i/>
          <w:iCs/>
          <w:lang w:eastAsia="tr-TR"/>
        </w:rPr>
        <w:t xml:space="preserve"> Human </w:t>
      </w:r>
      <w:proofErr w:type="spellStart"/>
      <w:r w:rsidRPr="007A253E">
        <w:rPr>
          <w:rFonts w:ascii="Times New Roman" w:hAnsi="Times New Roman"/>
          <w:i/>
          <w:iCs/>
          <w:lang w:eastAsia="tr-TR"/>
        </w:rPr>
        <w:t>Rights</w:t>
      </w:r>
      <w:proofErr w:type="spellEnd"/>
      <w:r w:rsidRPr="00103448">
        <w:rPr>
          <w:rFonts w:ascii="Times New Roman" w:hAnsi="Times New Roman"/>
          <w:lang w:eastAsia="tr-TR"/>
        </w:rPr>
        <w:t xml:space="preserve"> 1/1, 1994</w:t>
      </w:r>
      <w:r>
        <w:rPr>
          <w:rFonts w:ascii="Times New Roman" w:hAnsi="Times New Roman"/>
          <w:lang w:eastAsia="tr-TR"/>
        </w:rPr>
        <w:t>.</w:t>
      </w:r>
    </w:p>
    <w:p w14:paraId="00D02547" w14:textId="77777777" w:rsidR="007A253E" w:rsidRPr="00103448" w:rsidRDefault="007A253E" w:rsidP="00503EB4">
      <w:pPr>
        <w:jc w:val="both"/>
        <w:rPr>
          <w:rFonts w:ascii="Times New Roman" w:hAnsi="Times New Roman"/>
          <w:lang w:eastAsia="tr-TR"/>
        </w:rPr>
      </w:pPr>
      <w:r w:rsidRPr="00103448">
        <w:rPr>
          <w:rFonts w:ascii="Times New Roman" w:hAnsi="Times New Roman"/>
          <w:lang w:eastAsia="tr-TR"/>
        </w:rPr>
        <w:t xml:space="preserve">Joseph </w:t>
      </w:r>
      <w:proofErr w:type="spellStart"/>
      <w:r w:rsidRPr="00103448">
        <w:rPr>
          <w:rFonts w:ascii="Times New Roman" w:hAnsi="Times New Roman"/>
          <w:lang w:eastAsia="tr-TR"/>
        </w:rPr>
        <w:t>Raz</w:t>
      </w:r>
      <w:proofErr w:type="spellEnd"/>
      <w:r w:rsidRPr="00103448">
        <w:rPr>
          <w:rFonts w:ascii="Times New Roman" w:hAnsi="Times New Roman"/>
          <w:lang w:eastAsia="tr-TR"/>
        </w:rPr>
        <w:t>,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Rule</w:t>
      </w:r>
      <w:proofErr w:type="spellEnd"/>
      <w:r w:rsidRPr="00103448">
        <w:rPr>
          <w:rFonts w:ascii="Times New Roman" w:hAnsi="Times New Roman"/>
          <w:lang w:eastAsia="tr-TR"/>
        </w:rPr>
        <w:t xml:space="preserve"> of </w:t>
      </w:r>
      <w:proofErr w:type="spellStart"/>
      <w:r w:rsidRPr="00103448">
        <w:rPr>
          <w:rFonts w:ascii="Times New Roman" w:hAnsi="Times New Roman"/>
          <w:lang w:eastAsia="tr-TR"/>
        </w:rPr>
        <w:t>Law</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and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Its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Virtue</w:t>
      </w:r>
      <w:proofErr w:type="spellEnd"/>
      <w:r w:rsidRPr="00103448">
        <w:rPr>
          <w:rFonts w:ascii="Times New Roman" w:hAnsi="Times New Roman"/>
          <w:lang w:eastAsia="tr-TR"/>
        </w:rPr>
        <w:t xml:space="preserve">”, </w:t>
      </w:r>
      <w:proofErr w:type="spellStart"/>
      <w:r w:rsidRPr="007A253E">
        <w:rPr>
          <w:rFonts w:ascii="Times New Roman" w:hAnsi="Times New Roman"/>
          <w:i/>
          <w:iCs/>
          <w:lang w:eastAsia="tr-TR"/>
        </w:rPr>
        <w:t>The</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Authority</w:t>
      </w:r>
      <w:proofErr w:type="spellEnd"/>
      <w:r w:rsidRPr="007A253E">
        <w:rPr>
          <w:rFonts w:ascii="Times New Roman" w:hAnsi="Times New Roman"/>
          <w:i/>
          <w:iCs/>
          <w:lang w:eastAsia="tr-TR"/>
        </w:rPr>
        <w:t xml:space="preserve"> of </w:t>
      </w:r>
      <w:proofErr w:type="spellStart"/>
      <w:r w:rsidRPr="007A253E">
        <w:rPr>
          <w:rFonts w:ascii="Times New Roman" w:hAnsi="Times New Roman"/>
          <w:i/>
          <w:iCs/>
          <w:lang w:eastAsia="tr-TR"/>
        </w:rPr>
        <w:t>Law</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Essays</w:t>
      </w:r>
      <w:proofErr w:type="spellEnd"/>
      <w:r w:rsidRPr="007A253E">
        <w:rPr>
          <w:rFonts w:ascii="Times New Roman" w:hAnsi="Times New Roman"/>
          <w:i/>
          <w:iCs/>
          <w:lang w:eastAsia="tr-TR"/>
        </w:rPr>
        <w:t xml:space="preserve"> on </w:t>
      </w:r>
      <w:proofErr w:type="spellStart"/>
      <w:r w:rsidRPr="007A253E">
        <w:rPr>
          <w:rFonts w:ascii="Times New Roman" w:hAnsi="Times New Roman"/>
          <w:i/>
          <w:iCs/>
          <w:lang w:eastAsia="tr-TR"/>
        </w:rPr>
        <w:t>Law</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and</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Morality</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Clarendon</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Press</w:t>
      </w:r>
      <w:proofErr w:type="spellEnd"/>
      <w:r w:rsidRPr="00103448">
        <w:rPr>
          <w:rFonts w:ascii="Times New Roman" w:hAnsi="Times New Roman"/>
          <w:lang w:eastAsia="tr-TR"/>
        </w:rPr>
        <w:t>, 1979, s. 211, 228.</w:t>
      </w:r>
    </w:p>
    <w:p w14:paraId="4C32D010" w14:textId="3DD4F2A4" w:rsidR="007A253E" w:rsidRDefault="007A253E" w:rsidP="00503EB4">
      <w:pPr>
        <w:jc w:val="both"/>
        <w:rPr>
          <w:rFonts w:ascii="Times New Roman" w:hAnsi="Times New Roman"/>
          <w:lang w:eastAsia="tr-TR"/>
        </w:rPr>
      </w:pPr>
      <w:proofErr w:type="spellStart"/>
      <w:r w:rsidRPr="00103448">
        <w:rPr>
          <w:rFonts w:ascii="Times New Roman" w:hAnsi="Times New Roman"/>
          <w:lang w:eastAsia="tr-TR"/>
        </w:rPr>
        <w:t>Juan</w:t>
      </w:r>
      <w:proofErr w:type="spellEnd"/>
      <w:r w:rsidRPr="00103448">
        <w:rPr>
          <w:rFonts w:ascii="Times New Roman" w:hAnsi="Times New Roman"/>
          <w:lang w:eastAsia="tr-TR"/>
        </w:rPr>
        <w:t xml:space="preserve"> J. Linz &amp; </w:t>
      </w:r>
      <w:proofErr w:type="spellStart"/>
      <w:r w:rsidRPr="00103448">
        <w:rPr>
          <w:rFonts w:ascii="Times New Roman" w:hAnsi="Times New Roman"/>
          <w:lang w:eastAsia="tr-TR"/>
        </w:rPr>
        <w:t>Alfred</w:t>
      </w:r>
      <w:proofErr w:type="spellEnd"/>
      <w:r w:rsidRPr="00103448">
        <w:rPr>
          <w:rFonts w:ascii="Times New Roman" w:hAnsi="Times New Roman"/>
          <w:lang w:eastAsia="tr-TR"/>
        </w:rPr>
        <w:t xml:space="preserve"> Stephan, </w:t>
      </w:r>
      <w:proofErr w:type="spellStart"/>
      <w:r w:rsidRPr="007A253E">
        <w:rPr>
          <w:rFonts w:ascii="Times New Roman" w:hAnsi="Times New Roman"/>
          <w:i/>
          <w:iCs/>
          <w:lang w:eastAsia="tr-TR"/>
        </w:rPr>
        <w:t>Problems</w:t>
      </w:r>
      <w:proofErr w:type="spellEnd"/>
      <w:r w:rsidRPr="007A253E">
        <w:rPr>
          <w:rFonts w:ascii="Times New Roman" w:hAnsi="Times New Roman"/>
          <w:i/>
          <w:iCs/>
          <w:lang w:eastAsia="tr-TR"/>
        </w:rPr>
        <w:t xml:space="preserve"> of </w:t>
      </w:r>
      <w:proofErr w:type="spellStart"/>
      <w:r w:rsidRPr="007A253E">
        <w:rPr>
          <w:rFonts w:ascii="Times New Roman" w:hAnsi="Times New Roman"/>
          <w:i/>
          <w:iCs/>
          <w:lang w:eastAsia="tr-TR"/>
        </w:rPr>
        <w:t>Democratic</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Transition</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and</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Consolidation</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Southern</w:t>
      </w:r>
      <w:proofErr w:type="spellEnd"/>
      <w:r w:rsidRPr="007A253E">
        <w:rPr>
          <w:rFonts w:ascii="Times New Roman" w:hAnsi="Times New Roman"/>
          <w:i/>
          <w:iCs/>
          <w:lang w:eastAsia="tr-TR"/>
        </w:rPr>
        <w:t xml:space="preserve"> Europe, South </w:t>
      </w:r>
      <w:proofErr w:type="spellStart"/>
      <w:r w:rsidRPr="007A253E">
        <w:rPr>
          <w:rFonts w:ascii="Times New Roman" w:hAnsi="Times New Roman"/>
          <w:i/>
          <w:iCs/>
          <w:lang w:eastAsia="tr-TR"/>
        </w:rPr>
        <w:t>America</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and</w:t>
      </w:r>
      <w:proofErr w:type="spellEnd"/>
      <w:r w:rsidRPr="007A253E">
        <w:rPr>
          <w:rFonts w:ascii="Times New Roman" w:hAnsi="Times New Roman"/>
          <w:i/>
          <w:iCs/>
          <w:lang w:eastAsia="tr-TR"/>
        </w:rPr>
        <w:t xml:space="preserve"> Post-</w:t>
      </w:r>
      <w:proofErr w:type="spellStart"/>
      <w:r w:rsidRPr="007A253E">
        <w:rPr>
          <w:rFonts w:ascii="Times New Roman" w:hAnsi="Times New Roman"/>
          <w:i/>
          <w:iCs/>
          <w:lang w:eastAsia="tr-TR"/>
        </w:rPr>
        <w:t>Communist</w:t>
      </w:r>
      <w:proofErr w:type="spellEnd"/>
      <w:r w:rsidRPr="007A253E">
        <w:rPr>
          <w:rFonts w:ascii="Times New Roman" w:hAnsi="Times New Roman"/>
          <w:i/>
          <w:iCs/>
          <w:lang w:eastAsia="tr-TR"/>
        </w:rPr>
        <w:t xml:space="preserve"> Europe</w:t>
      </w:r>
      <w:r w:rsidRPr="00103448">
        <w:rPr>
          <w:rFonts w:ascii="Times New Roman" w:hAnsi="Times New Roman"/>
          <w:lang w:eastAsia="tr-TR"/>
        </w:rPr>
        <w:t xml:space="preserve">, John Hopkins </w:t>
      </w:r>
      <w:proofErr w:type="spellStart"/>
      <w:r w:rsidRPr="00103448">
        <w:rPr>
          <w:rFonts w:ascii="Times New Roman" w:hAnsi="Times New Roman"/>
          <w:lang w:eastAsia="tr-TR"/>
        </w:rPr>
        <w:t>University</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Press</w:t>
      </w:r>
      <w:proofErr w:type="spellEnd"/>
      <w:r w:rsidRPr="00103448">
        <w:rPr>
          <w:rFonts w:ascii="Times New Roman" w:hAnsi="Times New Roman"/>
          <w:lang w:eastAsia="tr-TR"/>
        </w:rPr>
        <w:t>, Baltimore, 1996</w:t>
      </w:r>
      <w:r>
        <w:rPr>
          <w:rFonts w:ascii="Times New Roman" w:hAnsi="Times New Roman"/>
          <w:lang w:eastAsia="tr-TR"/>
        </w:rPr>
        <w:t>.</w:t>
      </w:r>
    </w:p>
    <w:p w14:paraId="2D6D5492" w14:textId="2B99770B" w:rsidR="003A1B10" w:rsidRDefault="003A1B10" w:rsidP="00503EB4">
      <w:pPr>
        <w:jc w:val="both"/>
        <w:rPr>
          <w:rFonts w:ascii="Times New Roman" w:hAnsi="Times New Roman"/>
          <w:lang w:eastAsia="tr-TR"/>
        </w:rPr>
      </w:pPr>
      <w:r w:rsidRPr="003A1B10">
        <w:rPr>
          <w:rFonts w:ascii="Times New Roman" w:hAnsi="Times New Roman"/>
        </w:rPr>
        <w:t>D. J. Harr</w:t>
      </w:r>
      <w:r>
        <w:rPr>
          <w:rFonts w:ascii="Times New Roman" w:hAnsi="Times New Roman"/>
        </w:rPr>
        <w:t>i</w:t>
      </w:r>
      <w:r w:rsidRPr="003A1B10">
        <w:rPr>
          <w:rFonts w:ascii="Times New Roman" w:hAnsi="Times New Roman"/>
        </w:rPr>
        <w:t xml:space="preserve">s &amp; M. </w:t>
      </w:r>
      <w:proofErr w:type="spellStart"/>
      <w:r w:rsidRPr="003A1B10">
        <w:rPr>
          <w:rFonts w:ascii="Times New Roman" w:hAnsi="Times New Roman"/>
        </w:rPr>
        <w:t>O’</w:t>
      </w:r>
      <w:r>
        <w:rPr>
          <w:rFonts w:ascii="Times New Roman" w:hAnsi="Times New Roman"/>
        </w:rPr>
        <w:t>B</w:t>
      </w:r>
      <w:r w:rsidRPr="003A1B10">
        <w:rPr>
          <w:rFonts w:ascii="Times New Roman" w:hAnsi="Times New Roman"/>
        </w:rPr>
        <w:t>oyle</w:t>
      </w:r>
      <w:proofErr w:type="spellEnd"/>
      <w:r>
        <w:rPr>
          <w:rFonts w:ascii="Times New Roman" w:hAnsi="Times New Roman"/>
        </w:rPr>
        <w:t xml:space="preserve"> </w:t>
      </w:r>
      <w:r w:rsidRPr="003A1B10">
        <w:rPr>
          <w:rFonts w:ascii="Times New Roman" w:hAnsi="Times New Roman"/>
        </w:rPr>
        <w:t xml:space="preserve">&amp; E. </w:t>
      </w:r>
      <w:proofErr w:type="spellStart"/>
      <w:r w:rsidRPr="003A1B10">
        <w:rPr>
          <w:rFonts w:ascii="Times New Roman" w:hAnsi="Times New Roman"/>
        </w:rPr>
        <w:t>Bates</w:t>
      </w:r>
      <w:proofErr w:type="spellEnd"/>
      <w:r>
        <w:rPr>
          <w:rFonts w:ascii="Times New Roman" w:hAnsi="Times New Roman"/>
        </w:rPr>
        <w:t xml:space="preserve"> &amp; </w:t>
      </w:r>
      <w:proofErr w:type="spellStart"/>
      <w:r>
        <w:rPr>
          <w:rFonts w:ascii="Times New Roman" w:hAnsi="Times New Roman"/>
        </w:rPr>
        <w:t>Warbrick</w:t>
      </w:r>
      <w:proofErr w:type="spellEnd"/>
      <w:r>
        <w:rPr>
          <w:rFonts w:ascii="Times New Roman" w:hAnsi="Times New Roman"/>
        </w:rPr>
        <w:t xml:space="preserve"> (</w:t>
      </w:r>
      <w:r w:rsidRPr="003A1B10">
        <w:rPr>
          <w:rFonts w:ascii="Times New Roman" w:hAnsi="Times New Roman"/>
        </w:rPr>
        <w:t xml:space="preserve">çev. Mehveş Bingöllü Kılcı &amp; Ulaş Karan), </w:t>
      </w:r>
      <w:r w:rsidRPr="003A1B10">
        <w:rPr>
          <w:rFonts w:ascii="Times New Roman" w:hAnsi="Times New Roman"/>
          <w:i/>
          <w:iCs/>
        </w:rPr>
        <w:t>Avrupa İnsan Hakları Sözleşmesi Hukuku</w:t>
      </w:r>
      <w:r w:rsidRPr="003A1B10">
        <w:rPr>
          <w:rFonts w:ascii="Times New Roman" w:hAnsi="Times New Roman"/>
        </w:rPr>
        <w:t xml:space="preserve">, </w:t>
      </w:r>
      <w:r>
        <w:rPr>
          <w:rFonts w:ascii="Times New Roman" w:hAnsi="Times New Roman"/>
        </w:rPr>
        <w:t>4. Bası, İstanbul Bilgi Üniversitesi Yayınları, İstanbul,</w:t>
      </w:r>
      <w:r w:rsidRPr="003A1B10">
        <w:rPr>
          <w:rFonts w:ascii="Times New Roman" w:hAnsi="Times New Roman"/>
        </w:rPr>
        <w:t xml:space="preserve"> </w:t>
      </w:r>
      <w:r>
        <w:rPr>
          <w:rFonts w:ascii="Times New Roman" w:hAnsi="Times New Roman"/>
        </w:rPr>
        <w:t>2021.</w:t>
      </w:r>
    </w:p>
    <w:p w14:paraId="5464C34A" w14:textId="77777777" w:rsidR="007A253E" w:rsidRPr="00103448" w:rsidRDefault="007A253E" w:rsidP="00503EB4">
      <w:pPr>
        <w:jc w:val="both"/>
        <w:rPr>
          <w:rFonts w:ascii="Times New Roman" w:hAnsi="Times New Roman"/>
          <w:lang w:eastAsia="tr-TR"/>
        </w:rPr>
      </w:pPr>
      <w:r w:rsidRPr="00103448">
        <w:rPr>
          <w:rFonts w:ascii="Times New Roman" w:hAnsi="Times New Roman"/>
          <w:lang w:eastAsia="tr-TR"/>
        </w:rPr>
        <w:t>Kemal Gözler, “Korona Virüs Salgınıyla Mücadele İçin Alınan Tedbirler Hukuka Uygun Mu?”, www.anayasa.gen.tr/korona.htm, e.t. 14.10.2021.</w:t>
      </w:r>
    </w:p>
    <w:p w14:paraId="38A4CC25" w14:textId="77777777" w:rsidR="007A253E" w:rsidRDefault="007A253E" w:rsidP="00503EB4">
      <w:pPr>
        <w:jc w:val="both"/>
        <w:rPr>
          <w:rFonts w:ascii="Times New Roman" w:hAnsi="Times New Roman"/>
          <w:lang w:eastAsia="tr-TR"/>
        </w:rPr>
      </w:pPr>
      <w:proofErr w:type="spellStart"/>
      <w:r w:rsidRPr="00103448">
        <w:rPr>
          <w:rFonts w:ascii="Times New Roman" w:hAnsi="Times New Roman"/>
          <w:lang w:eastAsia="tr-TR"/>
        </w:rPr>
        <w:t>Larry</w:t>
      </w:r>
      <w:proofErr w:type="spellEnd"/>
      <w:r w:rsidRPr="00103448">
        <w:rPr>
          <w:rFonts w:ascii="Times New Roman" w:hAnsi="Times New Roman"/>
          <w:lang w:eastAsia="tr-TR"/>
        </w:rPr>
        <w:t xml:space="preserve"> J. </w:t>
      </w:r>
      <w:proofErr w:type="spellStart"/>
      <w:r w:rsidRPr="00103448">
        <w:rPr>
          <w:rFonts w:ascii="Times New Roman" w:hAnsi="Times New Roman"/>
          <w:lang w:eastAsia="tr-TR"/>
        </w:rPr>
        <w:t>Diamond</w:t>
      </w:r>
      <w:proofErr w:type="spellEnd"/>
      <w:r w:rsidRPr="00103448">
        <w:rPr>
          <w:rFonts w:ascii="Times New Roman" w:hAnsi="Times New Roman"/>
          <w:lang w:eastAsia="tr-TR"/>
        </w:rPr>
        <w:t>, “</w:t>
      </w:r>
      <w:proofErr w:type="spellStart"/>
      <w:r w:rsidRPr="00103448">
        <w:rPr>
          <w:rFonts w:ascii="Times New Roman" w:hAnsi="Times New Roman"/>
          <w:lang w:eastAsia="tr-TR"/>
        </w:rPr>
        <w:t>Thinking</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About</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Hybrid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Regimes</w:t>
      </w:r>
      <w:proofErr w:type="spellEnd"/>
      <w:r w:rsidRPr="00103448">
        <w:rPr>
          <w:rFonts w:ascii="Times New Roman" w:hAnsi="Times New Roman"/>
          <w:lang w:eastAsia="tr-TR"/>
        </w:rPr>
        <w:t xml:space="preserve">”, </w:t>
      </w:r>
      <w:proofErr w:type="spellStart"/>
      <w:r w:rsidRPr="007A253E">
        <w:rPr>
          <w:rFonts w:ascii="Times New Roman" w:hAnsi="Times New Roman"/>
          <w:i/>
          <w:iCs/>
          <w:lang w:eastAsia="tr-TR"/>
        </w:rPr>
        <w:t>Journal</w:t>
      </w:r>
      <w:proofErr w:type="spellEnd"/>
      <w:r w:rsidRPr="007A253E">
        <w:rPr>
          <w:rFonts w:ascii="Times New Roman" w:hAnsi="Times New Roman"/>
          <w:i/>
          <w:iCs/>
          <w:lang w:eastAsia="tr-TR"/>
        </w:rPr>
        <w:t xml:space="preserve"> of </w:t>
      </w:r>
      <w:proofErr w:type="spellStart"/>
      <w:r w:rsidRPr="007A253E">
        <w:rPr>
          <w:rFonts w:ascii="Times New Roman" w:hAnsi="Times New Roman"/>
          <w:i/>
          <w:iCs/>
          <w:lang w:eastAsia="tr-TR"/>
        </w:rPr>
        <w:t>Democracy</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Vol</w:t>
      </w:r>
      <w:proofErr w:type="spellEnd"/>
      <w:r w:rsidRPr="00103448">
        <w:rPr>
          <w:rFonts w:ascii="Times New Roman" w:hAnsi="Times New Roman"/>
          <w:lang w:eastAsia="tr-TR"/>
        </w:rPr>
        <w:t>. 13, No. 2, 2002</w:t>
      </w:r>
      <w:r>
        <w:rPr>
          <w:rFonts w:ascii="Times New Roman" w:hAnsi="Times New Roman"/>
          <w:lang w:eastAsia="tr-TR"/>
        </w:rPr>
        <w:t>.</w:t>
      </w:r>
    </w:p>
    <w:p w14:paraId="25386E40" w14:textId="77777777" w:rsidR="007A253E" w:rsidRPr="00103448" w:rsidRDefault="007A253E" w:rsidP="00503EB4">
      <w:pPr>
        <w:jc w:val="both"/>
        <w:rPr>
          <w:rFonts w:ascii="Times New Roman" w:hAnsi="Times New Roman"/>
          <w:lang w:eastAsia="tr-TR"/>
        </w:rPr>
      </w:pPr>
      <w:r w:rsidRPr="00103448">
        <w:rPr>
          <w:rFonts w:ascii="Times New Roman" w:hAnsi="Times New Roman"/>
          <w:lang w:eastAsia="tr-TR"/>
        </w:rPr>
        <w:t xml:space="preserve">Laura </w:t>
      </w:r>
      <w:proofErr w:type="spellStart"/>
      <w:r w:rsidRPr="00103448">
        <w:rPr>
          <w:rFonts w:ascii="Times New Roman" w:hAnsi="Times New Roman"/>
          <w:lang w:eastAsia="tr-TR"/>
        </w:rPr>
        <w:t>Hering</w:t>
      </w:r>
      <w:proofErr w:type="spellEnd"/>
      <w:r w:rsidRPr="00103448">
        <w:rPr>
          <w:rFonts w:ascii="Times New Roman" w:hAnsi="Times New Roman"/>
          <w:lang w:eastAsia="tr-TR"/>
        </w:rPr>
        <w:t xml:space="preserve">, “Covid-19 </w:t>
      </w:r>
      <w:proofErr w:type="spellStart"/>
      <w:r w:rsidRPr="00103448">
        <w:rPr>
          <w:rFonts w:ascii="Times New Roman" w:hAnsi="Times New Roman"/>
          <w:lang w:eastAsia="tr-TR"/>
        </w:rPr>
        <w:t>and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Constitutional</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Law</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Case of Germany”, </w:t>
      </w:r>
      <w:r w:rsidRPr="007A253E">
        <w:rPr>
          <w:rFonts w:ascii="Times New Roman" w:hAnsi="Times New Roman"/>
          <w:i/>
          <w:iCs/>
          <w:lang w:eastAsia="tr-TR"/>
        </w:rPr>
        <w:t xml:space="preserve">Covid-19 </w:t>
      </w:r>
      <w:proofErr w:type="spellStart"/>
      <w:r w:rsidRPr="007A253E">
        <w:rPr>
          <w:rFonts w:ascii="Times New Roman" w:hAnsi="Times New Roman"/>
          <w:i/>
          <w:iCs/>
          <w:lang w:eastAsia="tr-TR"/>
        </w:rPr>
        <w:t>and</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Constitutional</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Law</w:t>
      </w:r>
      <w:proofErr w:type="spellEnd"/>
      <w:r w:rsidRPr="00103448">
        <w:rPr>
          <w:rFonts w:ascii="Times New Roman" w:hAnsi="Times New Roman"/>
          <w:lang w:eastAsia="tr-TR"/>
        </w:rPr>
        <w:t xml:space="preserve"> (ed. </w:t>
      </w:r>
      <w:proofErr w:type="spellStart"/>
      <w:r w:rsidRPr="00103448">
        <w:rPr>
          <w:rFonts w:ascii="Times New Roman" w:hAnsi="Times New Roman"/>
          <w:lang w:eastAsia="tr-TR"/>
        </w:rPr>
        <w:t>Serna</w:t>
      </w:r>
      <w:proofErr w:type="spellEnd"/>
      <w:r w:rsidRPr="00103448">
        <w:rPr>
          <w:rFonts w:ascii="Times New Roman" w:hAnsi="Times New Roman"/>
          <w:lang w:eastAsia="tr-TR"/>
        </w:rPr>
        <w:t xml:space="preserve"> de la </w:t>
      </w:r>
      <w:proofErr w:type="spellStart"/>
      <w:r w:rsidRPr="00103448">
        <w:rPr>
          <w:rFonts w:ascii="Times New Roman" w:hAnsi="Times New Roman"/>
          <w:lang w:eastAsia="tr-TR"/>
        </w:rPr>
        <w:t>Garza</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José</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María</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Instituto</w:t>
      </w:r>
      <w:proofErr w:type="spellEnd"/>
      <w:r w:rsidRPr="00103448">
        <w:rPr>
          <w:rFonts w:ascii="Times New Roman" w:hAnsi="Times New Roman"/>
          <w:lang w:eastAsia="tr-TR"/>
        </w:rPr>
        <w:t xml:space="preserve"> De </w:t>
      </w:r>
      <w:proofErr w:type="spellStart"/>
      <w:r w:rsidRPr="00103448">
        <w:rPr>
          <w:rFonts w:ascii="Times New Roman" w:hAnsi="Times New Roman"/>
          <w:lang w:eastAsia="tr-TR"/>
        </w:rPr>
        <w:t>Investigaciones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Jurídicas</w:t>
      </w:r>
      <w:proofErr w:type="spellEnd"/>
      <w:r w:rsidRPr="00103448">
        <w:rPr>
          <w:rFonts w:ascii="Times New Roman" w:hAnsi="Times New Roman"/>
          <w:lang w:eastAsia="tr-TR"/>
        </w:rPr>
        <w:t>, 2020</w:t>
      </w:r>
      <w:r>
        <w:rPr>
          <w:rFonts w:ascii="Times New Roman" w:hAnsi="Times New Roman"/>
          <w:lang w:eastAsia="tr-TR"/>
        </w:rPr>
        <w:t>.</w:t>
      </w:r>
    </w:p>
    <w:p w14:paraId="00EA59AE" w14:textId="77777777" w:rsidR="007A253E" w:rsidRDefault="007A253E" w:rsidP="00503EB4">
      <w:pPr>
        <w:jc w:val="both"/>
        <w:rPr>
          <w:rFonts w:ascii="Times New Roman" w:hAnsi="Times New Roman"/>
          <w:lang w:eastAsia="tr-TR"/>
        </w:rPr>
      </w:pPr>
      <w:proofErr w:type="spellStart"/>
      <w:r>
        <w:rPr>
          <w:rFonts w:ascii="Times New Roman" w:hAnsi="Times New Roman"/>
          <w:lang w:eastAsia="tr-TR"/>
        </w:rPr>
        <w:lastRenderedPageBreak/>
        <w:t>M</w:t>
      </w:r>
      <w:r w:rsidRPr="00103448">
        <w:rPr>
          <w:rFonts w:ascii="Times New Roman" w:hAnsi="Times New Roman"/>
          <w:lang w:eastAsia="tr-TR"/>
        </w:rPr>
        <w:t>arc</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Neocleous</w:t>
      </w:r>
      <w:proofErr w:type="spellEnd"/>
      <w:r w:rsidRPr="00103448">
        <w:rPr>
          <w:rFonts w:ascii="Times New Roman" w:hAnsi="Times New Roman"/>
          <w:lang w:eastAsia="tr-TR"/>
        </w:rPr>
        <w:t>, “Norm-</w:t>
      </w:r>
      <w:proofErr w:type="spellStart"/>
      <w:r w:rsidRPr="00103448">
        <w:rPr>
          <w:rFonts w:ascii="Times New Roman" w:hAnsi="Times New Roman"/>
          <w:lang w:eastAsia="tr-TR"/>
        </w:rPr>
        <w:t>aliteyle</w:t>
      </w:r>
      <w:proofErr w:type="spellEnd"/>
      <w:r w:rsidRPr="00103448">
        <w:rPr>
          <w:rFonts w:ascii="Times New Roman" w:hAnsi="Times New Roman"/>
          <w:lang w:eastAsia="tr-TR"/>
        </w:rPr>
        <w:t xml:space="preserve"> İlgili Sorun ya da Kalıcı Olağanüstü Hâle İtiraz Etmek”, </w:t>
      </w:r>
      <w:proofErr w:type="spellStart"/>
      <w:r w:rsidRPr="007A253E">
        <w:rPr>
          <w:rFonts w:ascii="Times New Roman" w:hAnsi="Times New Roman"/>
          <w:i/>
          <w:iCs/>
          <w:lang w:eastAsia="tr-TR"/>
        </w:rPr>
        <w:t>Conatus</w:t>
      </w:r>
      <w:proofErr w:type="spellEnd"/>
      <w:r w:rsidRPr="00103448">
        <w:rPr>
          <w:rFonts w:ascii="Times New Roman" w:hAnsi="Times New Roman"/>
          <w:lang w:eastAsia="tr-TR"/>
        </w:rPr>
        <w:t xml:space="preserve"> 6, Kasım 2006/Şubat 2006</w:t>
      </w:r>
      <w:r>
        <w:rPr>
          <w:rFonts w:ascii="Times New Roman" w:hAnsi="Times New Roman"/>
          <w:lang w:eastAsia="tr-TR"/>
        </w:rPr>
        <w:t>.</w:t>
      </w:r>
      <w:r w:rsidRPr="00103448">
        <w:rPr>
          <w:rFonts w:ascii="Times New Roman" w:hAnsi="Times New Roman"/>
          <w:lang w:eastAsia="tr-TR"/>
        </w:rPr>
        <w:t xml:space="preserve"> </w:t>
      </w:r>
    </w:p>
    <w:p w14:paraId="397F262D" w14:textId="77777777" w:rsidR="007A253E" w:rsidRDefault="007A253E" w:rsidP="00503EB4">
      <w:pPr>
        <w:jc w:val="both"/>
        <w:rPr>
          <w:rFonts w:ascii="Times New Roman" w:hAnsi="Times New Roman"/>
          <w:lang w:eastAsia="tr-TR"/>
        </w:rPr>
      </w:pPr>
      <w:proofErr w:type="spellStart"/>
      <w:r w:rsidRPr="00103448">
        <w:rPr>
          <w:rFonts w:ascii="Times New Roman" w:hAnsi="Times New Roman"/>
          <w:lang w:eastAsia="tr-TR"/>
        </w:rPr>
        <w:t>Marek</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Zubik</w:t>
      </w:r>
      <w:proofErr w:type="spellEnd"/>
      <w:r w:rsidRPr="00103448">
        <w:rPr>
          <w:rFonts w:ascii="Times New Roman" w:hAnsi="Times New Roman"/>
          <w:lang w:eastAsia="tr-TR"/>
        </w:rPr>
        <w:t xml:space="preserve"> &amp; Dominik </w:t>
      </w:r>
      <w:proofErr w:type="spellStart"/>
      <w:r w:rsidRPr="00103448">
        <w:rPr>
          <w:rFonts w:ascii="Times New Roman" w:hAnsi="Times New Roman"/>
          <w:lang w:eastAsia="tr-TR"/>
        </w:rPr>
        <w:t>Łukowiak</w:t>
      </w:r>
      <w:proofErr w:type="spellEnd"/>
      <w:r w:rsidRPr="00103448">
        <w:rPr>
          <w:rFonts w:ascii="Times New Roman" w:hAnsi="Times New Roman"/>
          <w:lang w:eastAsia="tr-TR"/>
        </w:rPr>
        <w:t xml:space="preserve">, “Covid-19 </w:t>
      </w:r>
      <w:proofErr w:type="spellStart"/>
      <w:r w:rsidRPr="00103448">
        <w:rPr>
          <w:rFonts w:ascii="Times New Roman" w:hAnsi="Times New Roman"/>
          <w:lang w:eastAsia="tr-TR"/>
        </w:rPr>
        <w:t>and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Constitutional</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Law</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Case of Poland”, </w:t>
      </w:r>
      <w:r w:rsidRPr="007A253E">
        <w:rPr>
          <w:rFonts w:ascii="Times New Roman" w:hAnsi="Times New Roman"/>
          <w:i/>
          <w:iCs/>
          <w:lang w:eastAsia="tr-TR"/>
        </w:rPr>
        <w:t xml:space="preserve">Covid-19 </w:t>
      </w:r>
      <w:proofErr w:type="spellStart"/>
      <w:r w:rsidRPr="007A253E">
        <w:rPr>
          <w:rFonts w:ascii="Times New Roman" w:hAnsi="Times New Roman"/>
          <w:i/>
          <w:iCs/>
          <w:lang w:eastAsia="tr-TR"/>
        </w:rPr>
        <w:t>and</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Constitutional</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Law</w:t>
      </w:r>
      <w:proofErr w:type="spellEnd"/>
      <w:r w:rsidRPr="00103448">
        <w:rPr>
          <w:rFonts w:ascii="Times New Roman" w:hAnsi="Times New Roman"/>
          <w:lang w:eastAsia="tr-TR"/>
        </w:rPr>
        <w:t xml:space="preserve"> (ed. </w:t>
      </w:r>
      <w:proofErr w:type="spellStart"/>
      <w:r w:rsidRPr="00103448">
        <w:rPr>
          <w:rFonts w:ascii="Times New Roman" w:hAnsi="Times New Roman"/>
          <w:lang w:eastAsia="tr-TR"/>
        </w:rPr>
        <w:t>Serna</w:t>
      </w:r>
      <w:proofErr w:type="spellEnd"/>
      <w:r w:rsidRPr="00103448">
        <w:rPr>
          <w:rFonts w:ascii="Times New Roman" w:hAnsi="Times New Roman"/>
          <w:lang w:eastAsia="tr-TR"/>
        </w:rPr>
        <w:t xml:space="preserve"> de la </w:t>
      </w:r>
      <w:proofErr w:type="spellStart"/>
      <w:r w:rsidRPr="00103448">
        <w:rPr>
          <w:rFonts w:ascii="Times New Roman" w:hAnsi="Times New Roman"/>
          <w:lang w:eastAsia="tr-TR"/>
        </w:rPr>
        <w:t>Garza</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José</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María</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Instituto</w:t>
      </w:r>
      <w:proofErr w:type="spellEnd"/>
      <w:r w:rsidRPr="00103448">
        <w:rPr>
          <w:rFonts w:ascii="Times New Roman" w:hAnsi="Times New Roman"/>
          <w:lang w:eastAsia="tr-TR"/>
        </w:rPr>
        <w:t xml:space="preserve"> De </w:t>
      </w:r>
      <w:proofErr w:type="spellStart"/>
      <w:r w:rsidRPr="00103448">
        <w:rPr>
          <w:rFonts w:ascii="Times New Roman" w:hAnsi="Times New Roman"/>
          <w:lang w:eastAsia="tr-TR"/>
        </w:rPr>
        <w:t>Investigaciones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Jurídicas</w:t>
      </w:r>
      <w:proofErr w:type="spellEnd"/>
      <w:r w:rsidRPr="00103448">
        <w:rPr>
          <w:rFonts w:ascii="Times New Roman" w:hAnsi="Times New Roman"/>
          <w:lang w:eastAsia="tr-TR"/>
        </w:rPr>
        <w:t>, 2020</w:t>
      </w:r>
      <w:r>
        <w:rPr>
          <w:rFonts w:ascii="Times New Roman" w:hAnsi="Times New Roman"/>
          <w:lang w:eastAsia="tr-TR"/>
        </w:rPr>
        <w:t>.</w:t>
      </w:r>
    </w:p>
    <w:p w14:paraId="5DE86E81" w14:textId="77777777" w:rsidR="007A253E" w:rsidRDefault="007A253E" w:rsidP="00503EB4">
      <w:pPr>
        <w:jc w:val="both"/>
        <w:rPr>
          <w:rFonts w:ascii="Times New Roman" w:hAnsi="Times New Roman"/>
          <w:lang w:eastAsia="tr-TR"/>
        </w:rPr>
      </w:pPr>
      <w:proofErr w:type="spellStart"/>
      <w:r w:rsidRPr="00103448">
        <w:rPr>
          <w:rFonts w:ascii="Times New Roman" w:hAnsi="Times New Roman"/>
          <w:lang w:eastAsia="tr-TR"/>
        </w:rPr>
        <w:t>Michel</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Rosenfeld</w:t>
      </w:r>
      <w:proofErr w:type="spellEnd"/>
      <w:r w:rsidRPr="00103448">
        <w:rPr>
          <w:rFonts w:ascii="Times New Roman" w:hAnsi="Times New Roman"/>
          <w:lang w:eastAsia="tr-TR"/>
        </w:rPr>
        <w:t>,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Rule</w:t>
      </w:r>
      <w:proofErr w:type="spellEnd"/>
      <w:r w:rsidRPr="00103448">
        <w:rPr>
          <w:rFonts w:ascii="Times New Roman" w:hAnsi="Times New Roman"/>
          <w:lang w:eastAsia="tr-TR"/>
        </w:rPr>
        <w:t xml:space="preserve"> of </w:t>
      </w:r>
      <w:proofErr w:type="spellStart"/>
      <w:r w:rsidRPr="00103448">
        <w:rPr>
          <w:rFonts w:ascii="Times New Roman" w:hAnsi="Times New Roman"/>
          <w:lang w:eastAsia="tr-TR"/>
        </w:rPr>
        <w:t>Law</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and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Legitimacy</w:t>
      </w:r>
      <w:proofErr w:type="spellEnd"/>
      <w:r w:rsidRPr="00103448">
        <w:rPr>
          <w:rFonts w:ascii="Times New Roman" w:hAnsi="Times New Roman"/>
          <w:lang w:eastAsia="tr-TR"/>
        </w:rPr>
        <w:t xml:space="preserve"> of </w:t>
      </w:r>
      <w:proofErr w:type="spellStart"/>
      <w:r w:rsidRPr="00103448">
        <w:rPr>
          <w:rFonts w:ascii="Times New Roman" w:hAnsi="Times New Roman"/>
          <w:lang w:eastAsia="tr-TR"/>
        </w:rPr>
        <w:t>Constitutional</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Democracy</w:t>
      </w:r>
      <w:proofErr w:type="spellEnd"/>
      <w:r w:rsidRPr="00103448">
        <w:rPr>
          <w:rFonts w:ascii="Times New Roman" w:hAnsi="Times New Roman"/>
          <w:lang w:eastAsia="tr-TR"/>
        </w:rPr>
        <w:t xml:space="preserve">”, </w:t>
      </w:r>
      <w:proofErr w:type="spellStart"/>
      <w:r w:rsidRPr="007A253E">
        <w:rPr>
          <w:rFonts w:ascii="Times New Roman" w:hAnsi="Times New Roman"/>
          <w:i/>
          <w:iCs/>
          <w:lang w:eastAsia="tr-TR"/>
        </w:rPr>
        <w:t>Cardozo</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Law</w:t>
      </w:r>
      <w:proofErr w:type="spellEnd"/>
      <w:r w:rsidRPr="007A253E">
        <w:rPr>
          <w:rFonts w:ascii="Times New Roman" w:hAnsi="Times New Roman"/>
          <w:i/>
          <w:iCs/>
          <w:lang w:eastAsia="tr-TR"/>
        </w:rPr>
        <w:t xml:space="preserve"> School </w:t>
      </w:r>
      <w:proofErr w:type="spellStart"/>
      <w:r w:rsidRPr="007A253E">
        <w:rPr>
          <w:rFonts w:ascii="Times New Roman" w:hAnsi="Times New Roman"/>
          <w:i/>
          <w:iCs/>
          <w:lang w:eastAsia="tr-TR"/>
        </w:rPr>
        <w:t>Jacob</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Burns</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Institute</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for</w:t>
      </w:r>
      <w:proofErr w:type="spellEnd"/>
      <w:r w:rsidRPr="007A253E">
        <w:rPr>
          <w:rFonts w:ascii="Times New Roman" w:hAnsi="Times New Roman"/>
          <w:i/>
          <w:iCs/>
          <w:lang w:eastAsia="tr-TR"/>
        </w:rPr>
        <w:t xml:space="preserve"> Advanced Legal </w:t>
      </w:r>
      <w:proofErr w:type="spellStart"/>
      <w:r w:rsidRPr="007A253E">
        <w:rPr>
          <w:rFonts w:ascii="Times New Roman" w:hAnsi="Times New Roman"/>
          <w:i/>
          <w:iCs/>
          <w:lang w:eastAsia="tr-TR"/>
        </w:rPr>
        <w:t>Studies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Working</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Paper</w:t>
      </w:r>
      <w:proofErr w:type="spellEnd"/>
      <w:r w:rsidRPr="00103448">
        <w:rPr>
          <w:rFonts w:ascii="Times New Roman" w:hAnsi="Times New Roman"/>
          <w:lang w:eastAsia="tr-TR"/>
        </w:rPr>
        <w:t xml:space="preserve"> Series No. 36, 2001</w:t>
      </w:r>
      <w:r>
        <w:rPr>
          <w:rFonts w:ascii="Times New Roman" w:hAnsi="Times New Roman"/>
          <w:lang w:eastAsia="tr-TR"/>
        </w:rPr>
        <w:t>.</w:t>
      </w:r>
    </w:p>
    <w:p w14:paraId="38E42E38" w14:textId="77777777" w:rsidR="007A253E" w:rsidRPr="00103448" w:rsidRDefault="007A253E" w:rsidP="00503EB4">
      <w:pPr>
        <w:jc w:val="both"/>
        <w:rPr>
          <w:rFonts w:ascii="Times New Roman" w:hAnsi="Times New Roman"/>
          <w:lang w:eastAsia="tr-TR"/>
        </w:rPr>
      </w:pPr>
      <w:r w:rsidRPr="00103448">
        <w:rPr>
          <w:rFonts w:ascii="Times New Roman" w:hAnsi="Times New Roman"/>
          <w:lang w:eastAsia="tr-TR"/>
        </w:rPr>
        <w:t xml:space="preserve">Salih </w:t>
      </w:r>
      <w:proofErr w:type="spellStart"/>
      <w:r w:rsidRPr="00103448">
        <w:rPr>
          <w:rFonts w:ascii="Times New Roman" w:hAnsi="Times New Roman"/>
          <w:lang w:eastAsia="tr-TR"/>
        </w:rPr>
        <w:t>Akkanat</w:t>
      </w:r>
      <w:proofErr w:type="spellEnd"/>
      <w:r w:rsidRPr="00103448">
        <w:rPr>
          <w:rFonts w:ascii="Times New Roman" w:hAnsi="Times New Roman"/>
          <w:lang w:eastAsia="tr-TR"/>
        </w:rPr>
        <w:t xml:space="preserve">, “Güvenlik Siyasetini Aşmak: İstisna ve Hukuk İlişkisi Üzerine Bir Tartışma”, </w:t>
      </w:r>
      <w:r w:rsidRPr="007A253E">
        <w:rPr>
          <w:rFonts w:ascii="Times New Roman" w:hAnsi="Times New Roman"/>
          <w:i/>
          <w:iCs/>
          <w:lang w:eastAsia="tr-TR"/>
        </w:rPr>
        <w:t>AÜSBF</w:t>
      </w:r>
      <w:r w:rsidRPr="00103448">
        <w:rPr>
          <w:rFonts w:ascii="Times New Roman" w:hAnsi="Times New Roman"/>
          <w:lang w:eastAsia="tr-TR"/>
        </w:rPr>
        <w:t xml:space="preserve"> </w:t>
      </w:r>
      <w:r w:rsidRPr="007A253E">
        <w:rPr>
          <w:rFonts w:ascii="Times New Roman" w:hAnsi="Times New Roman"/>
          <w:i/>
          <w:iCs/>
          <w:lang w:eastAsia="tr-TR"/>
        </w:rPr>
        <w:t>Dergisi</w:t>
      </w:r>
      <w:r w:rsidRPr="00103448">
        <w:rPr>
          <w:rFonts w:ascii="Times New Roman" w:hAnsi="Times New Roman"/>
          <w:lang w:eastAsia="tr-TR"/>
        </w:rPr>
        <w:t xml:space="preserve"> 69/2, 2014</w:t>
      </w:r>
      <w:r>
        <w:rPr>
          <w:rFonts w:ascii="Times New Roman" w:hAnsi="Times New Roman"/>
          <w:lang w:eastAsia="tr-TR"/>
        </w:rPr>
        <w:t>.</w:t>
      </w:r>
    </w:p>
    <w:p w14:paraId="24CDEEA4" w14:textId="77777777" w:rsidR="007A253E" w:rsidRDefault="007A253E" w:rsidP="00503EB4">
      <w:pPr>
        <w:jc w:val="both"/>
        <w:rPr>
          <w:rFonts w:ascii="Times New Roman" w:hAnsi="Times New Roman"/>
          <w:lang w:eastAsia="tr-TR"/>
        </w:rPr>
      </w:pPr>
      <w:r w:rsidRPr="00103448">
        <w:rPr>
          <w:rFonts w:ascii="Times New Roman" w:hAnsi="Times New Roman"/>
          <w:lang w:eastAsia="tr-TR"/>
        </w:rPr>
        <w:t>Selin Esen, “</w:t>
      </w:r>
      <w:proofErr w:type="spellStart"/>
      <w:r w:rsidRPr="00103448">
        <w:rPr>
          <w:rFonts w:ascii="Times New Roman" w:hAnsi="Times New Roman"/>
          <w:lang w:eastAsia="tr-TR"/>
        </w:rPr>
        <w:t>Impacts</w:t>
      </w:r>
      <w:proofErr w:type="spellEnd"/>
      <w:r w:rsidRPr="00103448">
        <w:rPr>
          <w:rFonts w:ascii="Times New Roman" w:hAnsi="Times New Roman"/>
          <w:lang w:eastAsia="tr-TR"/>
        </w:rPr>
        <w:t xml:space="preserve"> of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Cov</w:t>
      </w:r>
      <w:r>
        <w:rPr>
          <w:rFonts w:ascii="Times New Roman" w:hAnsi="Times New Roman"/>
          <w:lang w:eastAsia="tr-TR"/>
        </w:rPr>
        <w:t>i</w:t>
      </w:r>
      <w:r w:rsidRPr="00103448">
        <w:rPr>
          <w:rFonts w:ascii="Times New Roman" w:hAnsi="Times New Roman"/>
          <w:lang w:eastAsia="tr-TR"/>
        </w:rPr>
        <w:t xml:space="preserve">d-19 </w:t>
      </w:r>
      <w:proofErr w:type="spellStart"/>
      <w:r w:rsidRPr="00103448">
        <w:rPr>
          <w:rFonts w:ascii="Times New Roman" w:hAnsi="Times New Roman"/>
          <w:lang w:eastAsia="tr-TR"/>
        </w:rPr>
        <w:t>Pandamic</w:t>
      </w:r>
      <w:proofErr w:type="spellEnd"/>
      <w:r w:rsidRPr="00103448">
        <w:rPr>
          <w:rFonts w:ascii="Times New Roman" w:hAnsi="Times New Roman"/>
          <w:lang w:eastAsia="tr-TR"/>
        </w:rPr>
        <w:t xml:space="preserve"> on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Constitutional</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Rights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In</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Turkey</w:t>
      </w:r>
      <w:proofErr w:type="spellEnd"/>
      <w:r w:rsidRPr="00103448">
        <w:rPr>
          <w:rFonts w:ascii="Times New Roman" w:hAnsi="Times New Roman"/>
          <w:lang w:eastAsia="tr-TR"/>
        </w:rPr>
        <w:t xml:space="preserve">”, </w:t>
      </w:r>
      <w:r w:rsidRPr="007A253E">
        <w:rPr>
          <w:rFonts w:ascii="Times New Roman" w:hAnsi="Times New Roman"/>
          <w:i/>
          <w:iCs/>
          <w:lang w:eastAsia="tr-TR"/>
        </w:rPr>
        <w:t xml:space="preserve">Covid-19 </w:t>
      </w:r>
      <w:proofErr w:type="spellStart"/>
      <w:r w:rsidRPr="007A253E">
        <w:rPr>
          <w:rFonts w:ascii="Times New Roman" w:hAnsi="Times New Roman"/>
          <w:i/>
          <w:iCs/>
          <w:lang w:eastAsia="tr-TR"/>
        </w:rPr>
        <w:t>and</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Constitutional</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Law</w:t>
      </w:r>
      <w:proofErr w:type="spellEnd"/>
      <w:r w:rsidRPr="00103448">
        <w:rPr>
          <w:rFonts w:ascii="Times New Roman" w:hAnsi="Times New Roman"/>
          <w:lang w:eastAsia="tr-TR"/>
        </w:rPr>
        <w:t xml:space="preserve"> (ed. </w:t>
      </w:r>
      <w:proofErr w:type="spellStart"/>
      <w:r w:rsidRPr="00103448">
        <w:rPr>
          <w:rFonts w:ascii="Times New Roman" w:hAnsi="Times New Roman"/>
          <w:lang w:eastAsia="tr-TR"/>
        </w:rPr>
        <w:t>Serna</w:t>
      </w:r>
      <w:proofErr w:type="spellEnd"/>
      <w:r w:rsidRPr="00103448">
        <w:rPr>
          <w:rFonts w:ascii="Times New Roman" w:hAnsi="Times New Roman"/>
          <w:lang w:eastAsia="tr-TR"/>
        </w:rPr>
        <w:t xml:space="preserve"> de la </w:t>
      </w:r>
      <w:proofErr w:type="spellStart"/>
      <w:r w:rsidRPr="00103448">
        <w:rPr>
          <w:rFonts w:ascii="Times New Roman" w:hAnsi="Times New Roman"/>
          <w:lang w:eastAsia="tr-TR"/>
        </w:rPr>
        <w:t>Garza</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José</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María</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Instituto</w:t>
      </w:r>
      <w:proofErr w:type="spellEnd"/>
      <w:r w:rsidRPr="00103448">
        <w:rPr>
          <w:rFonts w:ascii="Times New Roman" w:hAnsi="Times New Roman"/>
          <w:lang w:eastAsia="tr-TR"/>
        </w:rPr>
        <w:t xml:space="preserve"> De </w:t>
      </w:r>
      <w:proofErr w:type="spellStart"/>
      <w:r w:rsidRPr="00103448">
        <w:rPr>
          <w:rFonts w:ascii="Times New Roman" w:hAnsi="Times New Roman"/>
          <w:lang w:eastAsia="tr-TR"/>
        </w:rPr>
        <w:t>Investigaciones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Jurídicas</w:t>
      </w:r>
      <w:proofErr w:type="spellEnd"/>
      <w:r w:rsidRPr="00103448">
        <w:rPr>
          <w:rFonts w:ascii="Times New Roman" w:hAnsi="Times New Roman"/>
          <w:lang w:eastAsia="tr-TR"/>
        </w:rPr>
        <w:t>, 2020</w:t>
      </w:r>
      <w:r>
        <w:rPr>
          <w:rFonts w:ascii="Times New Roman" w:hAnsi="Times New Roman"/>
          <w:lang w:eastAsia="tr-TR"/>
        </w:rPr>
        <w:t>.</w:t>
      </w:r>
    </w:p>
    <w:p w14:paraId="0B48CA52" w14:textId="77777777" w:rsidR="007A253E" w:rsidRDefault="007A253E" w:rsidP="00503EB4">
      <w:pPr>
        <w:jc w:val="both"/>
        <w:rPr>
          <w:rFonts w:ascii="Times New Roman" w:hAnsi="Times New Roman"/>
          <w:lang w:eastAsia="tr-TR"/>
        </w:rPr>
      </w:pPr>
      <w:r w:rsidRPr="00103448">
        <w:rPr>
          <w:rFonts w:ascii="Times New Roman" w:hAnsi="Times New Roman"/>
          <w:lang w:eastAsia="tr-TR"/>
        </w:rPr>
        <w:t xml:space="preserve">Selin Esen, </w:t>
      </w:r>
      <w:r w:rsidRPr="007A253E">
        <w:rPr>
          <w:rFonts w:ascii="Times New Roman" w:hAnsi="Times New Roman"/>
          <w:i/>
          <w:iCs/>
          <w:lang w:eastAsia="tr-TR"/>
        </w:rPr>
        <w:t>Anayasa Hukuku Açısından Dolaşım Özgürlüğü</w:t>
      </w:r>
      <w:r w:rsidRPr="00103448">
        <w:rPr>
          <w:rFonts w:ascii="Times New Roman" w:hAnsi="Times New Roman"/>
          <w:lang w:eastAsia="tr-TR"/>
        </w:rPr>
        <w:t>, Yetkin Yayınları, Ankara, 2014</w:t>
      </w:r>
      <w:r>
        <w:rPr>
          <w:rFonts w:ascii="Times New Roman" w:hAnsi="Times New Roman"/>
          <w:lang w:eastAsia="tr-TR"/>
        </w:rPr>
        <w:t>.</w:t>
      </w:r>
    </w:p>
    <w:p w14:paraId="02865CDF" w14:textId="46A12342" w:rsidR="007A253E" w:rsidRDefault="007A253E" w:rsidP="00503EB4">
      <w:pPr>
        <w:jc w:val="both"/>
        <w:rPr>
          <w:rFonts w:ascii="Times New Roman" w:hAnsi="Times New Roman"/>
          <w:lang w:eastAsia="tr-TR"/>
        </w:rPr>
      </w:pPr>
      <w:proofErr w:type="spellStart"/>
      <w:r w:rsidRPr="00103448">
        <w:rPr>
          <w:rFonts w:ascii="Times New Roman" w:hAnsi="Times New Roman"/>
          <w:lang w:eastAsia="tr-TR"/>
        </w:rPr>
        <w:t>Sune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Klinge</w:t>
      </w:r>
      <w:proofErr w:type="spellEnd"/>
      <w:r w:rsidRPr="00103448">
        <w:rPr>
          <w:rFonts w:ascii="Times New Roman" w:hAnsi="Times New Roman"/>
          <w:lang w:eastAsia="tr-TR"/>
        </w:rPr>
        <w:t xml:space="preserve"> &amp; </w:t>
      </w:r>
      <w:proofErr w:type="spellStart"/>
      <w:r w:rsidRPr="00103448">
        <w:rPr>
          <w:rFonts w:ascii="Times New Roman" w:hAnsi="Times New Roman"/>
          <w:lang w:eastAsia="tr-TR"/>
        </w:rPr>
        <w:t>Helle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Krunke</w:t>
      </w:r>
      <w:proofErr w:type="spellEnd"/>
      <w:r w:rsidRPr="00103448">
        <w:rPr>
          <w:rFonts w:ascii="Times New Roman" w:hAnsi="Times New Roman"/>
          <w:lang w:eastAsia="tr-TR"/>
        </w:rPr>
        <w:t xml:space="preserve"> &amp; </w:t>
      </w:r>
      <w:proofErr w:type="spellStart"/>
      <w:r w:rsidRPr="00103448">
        <w:rPr>
          <w:rFonts w:ascii="Times New Roman" w:hAnsi="Times New Roman"/>
          <w:lang w:eastAsia="tr-TR"/>
        </w:rPr>
        <w:t>Annemette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Fallentin</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Nyborg</w:t>
      </w:r>
      <w:proofErr w:type="spellEnd"/>
      <w:r w:rsidRPr="00103448">
        <w:rPr>
          <w:rFonts w:ascii="Times New Roman" w:hAnsi="Times New Roman"/>
          <w:lang w:eastAsia="tr-TR"/>
        </w:rPr>
        <w:t xml:space="preserve"> &amp; </w:t>
      </w:r>
      <w:proofErr w:type="spellStart"/>
      <w:r w:rsidRPr="00103448">
        <w:rPr>
          <w:rFonts w:ascii="Times New Roman" w:hAnsi="Times New Roman"/>
          <w:lang w:eastAsia="tr-TR"/>
        </w:rPr>
        <w:t>Jens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Elo</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Rytter</w:t>
      </w:r>
      <w:proofErr w:type="spellEnd"/>
      <w:r w:rsidRPr="00103448">
        <w:rPr>
          <w:rFonts w:ascii="Times New Roman" w:hAnsi="Times New Roman"/>
          <w:lang w:eastAsia="tr-TR"/>
        </w:rPr>
        <w:t>, “Cov</w:t>
      </w:r>
      <w:r>
        <w:rPr>
          <w:rFonts w:ascii="Times New Roman" w:hAnsi="Times New Roman"/>
          <w:lang w:eastAsia="tr-TR"/>
        </w:rPr>
        <w:t>i</w:t>
      </w:r>
      <w:r w:rsidRPr="00103448">
        <w:rPr>
          <w:rFonts w:ascii="Times New Roman" w:hAnsi="Times New Roman"/>
          <w:lang w:eastAsia="tr-TR"/>
        </w:rPr>
        <w:t xml:space="preserve">d-19 </w:t>
      </w:r>
      <w:proofErr w:type="spellStart"/>
      <w:r w:rsidRPr="00103448">
        <w:rPr>
          <w:rFonts w:ascii="Times New Roman" w:hAnsi="Times New Roman"/>
          <w:lang w:eastAsia="tr-TR"/>
        </w:rPr>
        <w:t>and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Constitutional</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Law</w:t>
      </w:r>
      <w:proofErr w:type="spellEnd"/>
      <w:r w:rsidRPr="00103448">
        <w:rPr>
          <w:rFonts w:ascii="Times New Roman" w:hAnsi="Times New Roman"/>
          <w:lang w:eastAsia="tr-TR"/>
        </w:rPr>
        <w:t xml:space="preserve"> in </w:t>
      </w:r>
      <w:proofErr w:type="spellStart"/>
      <w:r w:rsidRPr="00103448">
        <w:rPr>
          <w:rFonts w:ascii="Times New Roman" w:hAnsi="Times New Roman"/>
          <w:lang w:eastAsia="tr-TR"/>
        </w:rPr>
        <w:t>Denmark</w:t>
      </w:r>
      <w:proofErr w:type="spellEnd"/>
      <w:r w:rsidRPr="00103448">
        <w:rPr>
          <w:rFonts w:ascii="Times New Roman" w:hAnsi="Times New Roman"/>
          <w:lang w:eastAsia="tr-TR"/>
        </w:rPr>
        <w:t xml:space="preserve">”, </w:t>
      </w:r>
      <w:r w:rsidRPr="007A253E">
        <w:rPr>
          <w:rFonts w:ascii="Times New Roman" w:hAnsi="Times New Roman"/>
          <w:i/>
          <w:iCs/>
          <w:lang w:eastAsia="tr-TR"/>
        </w:rPr>
        <w:t xml:space="preserve">Covid-19 </w:t>
      </w:r>
      <w:proofErr w:type="spellStart"/>
      <w:r w:rsidRPr="007A253E">
        <w:rPr>
          <w:rFonts w:ascii="Times New Roman" w:hAnsi="Times New Roman"/>
          <w:i/>
          <w:iCs/>
          <w:lang w:eastAsia="tr-TR"/>
        </w:rPr>
        <w:t>and</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Constitutional</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Law</w:t>
      </w:r>
      <w:proofErr w:type="spellEnd"/>
      <w:r w:rsidRPr="00103448">
        <w:rPr>
          <w:rFonts w:ascii="Times New Roman" w:hAnsi="Times New Roman"/>
          <w:lang w:eastAsia="tr-TR"/>
        </w:rPr>
        <w:t xml:space="preserve"> (ed. </w:t>
      </w:r>
      <w:proofErr w:type="spellStart"/>
      <w:r w:rsidRPr="00103448">
        <w:rPr>
          <w:rFonts w:ascii="Times New Roman" w:hAnsi="Times New Roman"/>
          <w:lang w:eastAsia="tr-TR"/>
        </w:rPr>
        <w:t>Serna</w:t>
      </w:r>
      <w:proofErr w:type="spellEnd"/>
      <w:r w:rsidRPr="00103448">
        <w:rPr>
          <w:rFonts w:ascii="Times New Roman" w:hAnsi="Times New Roman"/>
          <w:lang w:eastAsia="tr-TR"/>
        </w:rPr>
        <w:t xml:space="preserve"> de la </w:t>
      </w:r>
      <w:proofErr w:type="spellStart"/>
      <w:r w:rsidRPr="00103448">
        <w:rPr>
          <w:rFonts w:ascii="Times New Roman" w:hAnsi="Times New Roman"/>
          <w:lang w:eastAsia="tr-TR"/>
        </w:rPr>
        <w:t>Garza</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José</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María</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Instituto</w:t>
      </w:r>
      <w:proofErr w:type="spellEnd"/>
      <w:r w:rsidRPr="00103448">
        <w:rPr>
          <w:rFonts w:ascii="Times New Roman" w:hAnsi="Times New Roman"/>
          <w:lang w:eastAsia="tr-TR"/>
        </w:rPr>
        <w:t xml:space="preserve"> De </w:t>
      </w:r>
      <w:proofErr w:type="spellStart"/>
      <w:r w:rsidRPr="00103448">
        <w:rPr>
          <w:rFonts w:ascii="Times New Roman" w:hAnsi="Times New Roman"/>
          <w:lang w:eastAsia="tr-TR"/>
        </w:rPr>
        <w:t>Investigaciones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Jurídicas</w:t>
      </w:r>
      <w:proofErr w:type="spellEnd"/>
      <w:r w:rsidRPr="00103448">
        <w:rPr>
          <w:rFonts w:ascii="Times New Roman" w:hAnsi="Times New Roman"/>
          <w:lang w:eastAsia="tr-TR"/>
        </w:rPr>
        <w:t>, 2020</w:t>
      </w:r>
      <w:r>
        <w:rPr>
          <w:rFonts w:ascii="Times New Roman" w:hAnsi="Times New Roman"/>
          <w:lang w:eastAsia="tr-TR"/>
        </w:rPr>
        <w:t>.</w:t>
      </w:r>
    </w:p>
    <w:p w14:paraId="2ED2866D" w14:textId="46DD6B55" w:rsidR="00F726C7" w:rsidRPr="00103448" w:rsidRDefault="00F726C7" w:rsidP="00503EB4">
      <w:pPr>
        <w:jc w:val="both"/>
        <w:rPr>
          <w:rFonts w:ascii="Times New Roman" w:hAnsi="Times New Roman"/>
          <w:lang w:eastAsia="tr-TR"/>
        </w:rPr>
      </w:pPr>
      <w:proofErr w:type="spellStart"/>
      <w:r w:rsidRPr="00A443F4">
        <w:rPr>
          <w:rFonts w:ascii="Times New Roman" w:hAnsi="Times New Roman"/>
        </w:rPr>
        <w:t>Tom</w:t>
      </w:r>
      <w:proofErr w:type="spellEnd"/>
      <w:r w:rsidRPr="00A443F4">
        <w:rPr>
          <w:rFonts w:ascii="Times New Roman" w:hAnsi="Times New Roman"/>
        </w:rPr>
        <w:t xml:space="preserve"> </w:t>
      </w:r>
      <w:proofErr w:type="spellStart"/>
      <w:r w:rsidRPr="00A443F4">
        <w:rPr>
          <w:rFonts w:ascii="Times New Roman" w:hAnsi="Times New Roman"/>
        </w:rPr>
        <w:t>Ginsburg</w:t>
      </w:r>
      <w:proofErr w:type="spellEnd"/>
      <w:r w:rsidRPr="00A443F4">
        <w:rPr>
          <w:rFonts w:ascii="Times New Roman" w:hAnsi="Times New Roman"/>
        </w:rPr>
        <w:t>, “Cov</w:t>
      </w:r>
      <w:r>
        <w:rPr>
          <w:rFonts w:ascii="Times New Roman" w:hAnsi="Times New Roman"/>
        </w:rPr>
        <w:t>i</w:t>
      </w:r>
      <w:r w:rsidRPr="00A443F4">
        <w:rPr>
          <w:rFonts w:ascii="Times New Roman" w:hAnsi="Times New Roman"/>
        </w:rPr>
        <w:t xml:space="preserve">d-19 </w:t>
      </w:r>
      <w:proofErr w:type="spellStart"/>
      <w:r>
        <w:rPr>
          <w:rFonts w:ascii="Times New Roman" w:hAnsi="Times New Roman"/>
        </w:rPr>
        <w:t>a</w:t>
      </w:r>
      <w:r w:rsidRPr="00A443F4">
        <w:rPr>
          <w:rFonts w:ascii="Times New Roman" w:hAnsi="Times New Roman"/>
        </w:rPr>
        <w:t>nd</w:t>
      </w:r>
      <w:proofErr w:type="spellEnd"/>
      <w:r w:rsidRPr="00A443F4">
        <w:rPr>
          <w:rFonts w:ascii="Times New Roman" w:hAnsi="Times New Roman"/>
        </w:rPr>
        <w:t xml:space="preserve"> </w:t>
      </w:r>
      <w:proofErr w:type="spellStart"/>
      <w:r>
        <w:rPr>
          <w:rFonts w:ascii="Times New Roman" w:hAnsi="Times New Roman"/>
        </w:rPr>
        <w:t>t</w:t>
      </w:r>
      <w:r w:rsidRPr="00A443F4">
        <w:rPr>
          <w:rFonts w:ascii="Times New Roman" w:hAnsi="Times New Roman"/>
        </w:rPr>
        <w:t>he</w:t>
      </w:r>
      <w:proofErr w:type="spellEnd"/>
      <w:r w:rsidRPr="00A443F4">
        <w:rPr>
          <w:rFonts w:ascii="Times New Roman" w:hAnsi="Times New Roman"/>
        </w:rPr>
        <w:t xml:space="preserve"> U</w:t>
      </w:r>
      <w:r>
        <w:rPr>
          <w:rFonts w:ascii="Times New Roman" w:hAnsi="Times New Roman"/>
        </w:rPr>
        <w:t>S</w:t>
      </w:r>
      <w:r w:rsidRPr="00A443F4">
        <w:rPr>
          <w:rFonts w:ascii="Times New Roman" w:hAnsi="Times New Roman"/>
        </w:rPr>
        <w:t xml:space="preserve"> </w:t>
      </w:r>
      <w:proofErr w:type="spellStart"/>
      <w:r w:rsidRPr="00A443F4">
        <w:rPr>
          <w:rFonts w:ascii="Times New Roman" w:hAnsi="Times New Roman"/>
        </w:rPr>
        <w:t>Const</w:t>
      </w:r>
      <w:r>
        <w:rPr>
          <w:rFonts w:ascii="Times New Roman" w:hAnsi="Times New Roman"/>
        </w:rPr>
        <w:t>i</w:t>
      </w:r>
      <w:r w:rsidRPr="00A443F4">
        <w:rPr>
          <w:rFonts w:ascii="Times New Roman" w:hAnsi="Times New Roman"/>
        </w:rPr>
        <w:t>tut</w:t>
      </w:r>
      <w:r>
        <w:rPr>
          <w:rFonts w:ascii="Times New Roman" w:hAnsi="Times New Roman"/>
        </w:rPr>
        <w:t>i</w:t>
      </w:r>
      <w:r w:rsidRPr="00A443F4">
        <w:rPr>
          <w:rFonts w:ascii="Times New Roman" w:hAnsi="Times New Roman"/>
        </w:rPr>
        <w:t>on</w:t>
      </w:r>
      <w:proofErr w:type="spellEnd"/>
      <w:r w:rsidRPr="00A443F4">
        <w:rPr>
          <w:rFonts w:ascii="Times New Roman" w:hAnsi="Times New Roman"/>
        </w:rPr>
        <w:t xml:space="preserve">”, </w:t>
      </w:r>
      <w:r w:rsidRPr="00A443F4">
        <w:rPr>
          <w:rFonts w:ascii="Times New Roman" w:hAnsi="Times New Roman"/>
          <w:i/>
          <w:iCs/>
        </w:rPr>
        <w:t xml:space="preserve">Covid-19 </w:t>
      </w:r>
      <w:proofErr w:type="spellStart"/>
      <w:r w:rsidRPr="00A443F4">
        <w:rPr>
          <w:rFonts w:ascii="Times New Roman" w:hAnsi="Times New Roman"/>
          <w:i/>
          <w:iCs/>
        </w:rPr>
        <w:t>and</w:t>
      </w:r>
      <w:proofErr w:type="spellEnd"/>
      <w:r w:rsidRPr="00A443F4">
        <w:rPr>
          <w:rFonts w:ascii="Times New Roman" w:hAnsi="Times New Roman"/>
          <w:i/>
          <w:iCs/>
        </w:rPr>
        <w:t xml:space="preserve"> </w:t>
      </w:r>
      <w:proofErr w:type="spellStart"/>
      <w:r w:rsidRPr="00A443F4">
        <w:rPr>
          <w:rFonts w:ascii="Times New Roman" w:hAnsi="Times New Roman"/>
          <w:i/>
          <w:iCs/>
        </w:rPr>
        <w:t>Constitutional</w:t>
      </w:r>
      <w:proofErr w:type="spellEnd"/>
      <w:r w:rsidRPr="00A443F4">
        <w:rPr>
          <w:rFonts w:ascii="Times New Roman" w:hAnsi="Times New Roman"/>
          <w:i/>
          <w:iCs/>
        </w:rPr>
        <w:t xml:space="preserve"> </w:t>
      </w:r>
      <w:proofErr w:type="spellStart"/>
      <w:r w:rsidRPr="00A443F4">
        <w:rPr>
          <w:rFonts w:ascii="Times New Roman" w:hAnsi="Times New Roman"/>
          <w:i/>
          <w:iCs/>
        </w:rPr>
        <w:t>Law</w:t>
      </w:r>
      <w:proofErr w:type="spellEnd"/>
      <w:r w:rsidRPr="00A443F4">
        <w:rPr>
          <w:rFonts w:ascii="Times New Roman" w:hAnsi="Times New Roman"/>
        </w:rPr>
        <w:t xml:space="preserve"> (ed. </w:t>
      </w:r>
      <w:proofErr w:type="spellStart"/>
      <w:r w:rsidRPr="00A443F4">
        <w:rPr>
          <w:rFonts w:ascii="Times New Roman" w:hAnsi="Times New Roman"/>
        </w:rPr>
        <w:t>Serna</w:t>
      </w:r>
      <w:proofErr w:type="spellEnd"/>
      <w:r w:rsidRPr="00A443F4">
        <w:rPr>
          <w:rFonts w:ascii="Times New Roman" w:hAnsi="Times New Roman"/>
        </w:rPr>
        <w:t xml:space="preserve"> de la </w:t>
      </w:r>
      <w:proofErr w:type="spellStart"/>
      <w:r w:rsidRPr="00A443F4">
        <w:rPr>
          <w:rFonts w:ascii="Times New Roman" w:hAnsi="Times New Roman"/>
        </w:rPr>
        <w:t>Garza</w:t>
      </w:r>
      <w:proofErr w:type="spellEnd"/>
      <w:r w:rsidRPr="00A443F4">
        <w:rPr>
          <w:rFonts w:ascii="Times New Roman" w:hAnsi="Times New Roman"/>
        </w:rPr>
        <w:t xml:space="preserve">, </w:t>
      </w:r>
      <w:proofErr w:type="spellStart"/>
      <w:r w:rsidRPr="00A443F4">
        <w:rPr>
          <w:rFonts w:ascii="Times New Roman" w:hAnsi="Times New Roman"/>
        </w:rPr>
        <w:t>José</w:t>
      </w:r>
      <w:proofErr w:type="spellEnd"/>
      <w:r w:rsidRPr="00A443F4">
        <w:rPr>
          <w:rFonts w:ascii="Times New Roman" w:hAnsi="Times New Roman"/>
        </w:rPr>
        <w:t xml:space="preserve"> </w:t>
      </w:r>
      <w:proofErr w:type="spellStart"/>
      <w:r w:rsidRPr="00A443F4">
        <w:rPr>
          <w:rFonts w:ascii="Times New Roman" w:hAnsi="Times New Roman"/>
        </w:rPr>
        <w:t>María</w:t>
      </w:r>
      <w:proofErr w:type="spellEnd"/>
      <w:r w:rsidRPr="00A443F4">
        <w:rPr>
          <w:rFonts w:ascii="Times New Roman" w:hAnsi="Times New Roman"/>
        </w:rPr>
        <w:t xml:space="preserve">), </w:t>
      </w:r>
      <w:proofErr w:type="spellStart"/>
      <w:r w:rsidRPr="00A443F4">
        <w:rPr>
          <w:rFonts w:ascii="Times New Roman" w:hAnsi="Times New Roman"/>
        </w:rPr>
        <w:t>Instituto</w:t>
      </w:r>
      <w:proofErr w:type="spellEnd"/>
      <w:r w:rsidRPr="00A443F4">
        <w:rPr>
          <w:rFonts w:ascii="Times New Roman" w:hAnsi="Times New Roman"/>
        </w:rPr>
        <w:t xml:space="preserve"> De </w:t>
      </w:r>
      <w:proofErr w:type="spellStart"/>
      <w:r w:rsidRPr="00A443F4">
        <w:rPr>
          <w:rFonts w:ascii="Times New Roman" w:hAnsi="Times New Roman"/>
        </w:rPr>
        <w:t>Investigaciones</w:t>
      </w:r>
      <w:proofErr w:type="spellEnd"/>
      <w:r w:rsidRPr="00A443F4">
        <w:rPr>
          <w:rFonts w:ascii="Times New Roman" w:hAnsi="Times New Roman"/>
        </w:rPr>
        <w:t xml:space="preserve"> </w:t>
      </w:r>
      <w:proofErr w:type="spellStart"/>
      <w:r w:rsidRPr="00A443F4">
        <w:rPr>
          <w:rFonts w:ascii="Times New Roman" w:hAnsi="Times New Roman"/>
        </w:rPr>
        <w:t>Jurídicas</w:t>
      </w:r>
      <w:proofErr w:type="spellEnd"/>
      <w:r w:rsidRPr="00A443F4">
        <w:rPr>
          <w:rFonts w:ascii="Times New Roman" w:hAnsi="Times New Roman"/>
        </w:rPr>
        <w:t>, 2020</w:t>
      </w:r>
      <w:r>
        <w:rPr>
          <w:rFonts w:ascii="Times New Roman" w:hAnsi="Times New Roman"/>
        </w:rPr>
        <w:t>.</w:t>
      </w:r>
    </w:p>
    <w:p w14:paraId="77A58983" w14:textId="77777777" w:rsidR="007A253E" w:rsidRDefault="007A253E" w:rsidP="00503EB4">
      <w:pPr>
        <w:jc w:val="both"/>
        <w:rPr>
          <w:rFonts w:ascii="Times New Roman" w:hAnsi="Times New Roman"/>
          <w:lang w:eastAsia="tr-TR"/>
        </w:rPr>
      </w:pPr>
      <w:proofErr w:type="spellStart"/>
      <w:r w:rsidRPr="00103448">
        <w:rPr>
          <w:rFonts w:ascii="Times New Roman" w:hAnsi="Times New Roman"/>
          <w:lang w:eastAsia="tr-TR"/>
        </w:rPr>
        <w:t>Toon</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Moonen</w:t>
      </w:r>
      <w:proofErr w:type="spellEnd"/>
      <w:r w:rsidRPr="00103448">
        <w:rPr>
          <w:rFonts w:ascii="Times New Roman" w:hAnsi="Times New Roman"/>
          <w:lang w:eastAsia="tr-TR"/>
        </w:rPr>
        <w:t>, “</w:t>
      </w:r>
      <w:proofErr w:type="spellStart"/>
      <w:r w:rsidRPr="00103448">
        <w:rPr>
          <w:rFonts w:ascii="Times New Roman" w:hAnsi="Times New Roman"/>
          <w:lang w:eastAsia="tr-TR"/>
        </w:rPr>
        <w:t>Questions</w:t>
      </w:r>
      <w:proofErr w:type="spellEnd"/>
      <w:r w:rsidRPr="00103448">
        <w:rPr>
          <w:rFonts w:ascii="Times New Roman" w:hAnsi="Times New Roman"/>
          <w:lang w:eastAsia="tr-TR"/>
        </w:rPr>
        <w:t xml:space="preserve"> of </w:t>
      </w:r>
      <w:proofErr w:type="spellStart"/>
      <w:r w:rsidRPr="00103448">
        <w:rPr>
          <w:rFonts w:ascii="Times New Roman" w:hAnsi="Times New Roman"/>
          <w:lang w:eastAsia="tr-TR"/>
        </w:rPr>
        <w:t>Constitutional</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Law</w:t>
      </w:r>
      <w:proofErr w:type="spellEnd"/>
      <w:r w:rsidRPr="00103448">
        <w:rPr>
          <w:rFonts w:ascii="Times New Roman" w:hAnsi="Times New Roman"/>
          <w:lang w:eastAsia="tr-TR"/>
        </w:rPr>
        <w:t xml:space="preserve"> in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Belgian</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Fight</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Against</w:t>
      </w:r>
      <w:proofErr w:type="spellEnd"/>
      <w:r w:rsidRPr="00103448">
        <w:rPr>
          <w:rFonts w:ascii="Times New Roman" w:hAnsi="Times New Roman"/>
          <w:lang w:eastAsia="tr-TR"/>
        </w:rPr>
        <w:t xml:space="preserve"> Covid-19”, </w:t>
      </w:r>
      <w:r w:rsidRPr="007A253E">
        <w:rPr>
          <w:rFonts w:ascii="Times New Roman" w:hAnsi="Times New Roman"/>
          <w:i/>
          <w:iCs/>
          <w:lang w:eastAsia="tr-TR"/>
        </w:rPr>
        <w:t xml:space="preserve">Covid-19 </w:t>
      </w:r>
      <w:proofErr w:type="spellStart"/>
      <w:r w:rsidRPr="007A253E">
        <w:rPr>
          <w:rFonts w:ascii="Times New Roman" w:hAnsi="Times New Roman"/>
          <w:i/>
          <w:iCs/>
          <w:lang w:eastAsia="tr-TR"/>
        </w:rPr>
        <w:t>and</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Constitutional</w:t>
      </w:r>
      <w:proofErr w:type="spellEnd"/>
      <w:r w:rsidRPr="007A253E">
        <w:rPr>
          <w:rFonts w:ascii="Times New Roman" w:hAnsi="Times New Roman"/>
          <w:i/>
          <w:iCs/>
          <w:lang w:eastAsia="tr-TR"/>
        </w:rPr>
        <w:t xml:space="preserve"> </w:t>
      </w:r>
      <w:proofErr w:type="spellStart"/>
      <w:r w:rsidRPr="007A253E">
        <w:rPr>
          <w:rFonts w:ascii="Times New Roman" w:hAnsi="Times New Roman"/>
          <w:i/>
          <w:iCs/>
          <w:lang w:eastAsia="tr-TR"/>
        </w:rPr>
        <w:t>Law</w:t>
      </w:r>
      <w:proofErr w:type="spellEnd"/>
      <w:r w:rsidRPr="007A253E">
        <w:rPr>
          <w:rFonts w:ascii="Times New Roman" w:hAnsi="Times New Roman"/>
          <w:i/>
          <w:iCs/>
          <w:lang w:eastAsia="tr-TR"/>
        </w:rPr>
        <w:t xml:space="preserve"> </w:t>
      </w:r>
      <w:r w:rsidRPr="00103448">
        <w:rPr>
          <w:rFonts w:ascii="Times New Roman" w:hAnsi="Times New Roman"/>
          <w:lang w:eastAsia="tr-TR"/>
        </w:rPr>
        <w:t xml:space="preserve">(ed. </w:t>
      </w:r>
      <w:proofErr w:type="spellStart"/>
      <w:r w:rsidRPr="00103448">
        <w:rPr>
          <w:rFonts w:ascii="Times New Roman" w:hAnsi="Times New Roman"/>
          <w:lang w:eastAsia="tr-TR"/>
        </w:rPr>
        <w:t>Serna</w:t>
      </w:r>
      <w:proofErr w:type="spellEnd"/>
      <w:r w:rsidRPr="00103448">
        <w:rPr>
          <w:rFonts w:ascii="Times New Roman" w:hAnsi="Times New Roman"/>
          <w:lang w:eastAsia="tr-TR"/>
        </w:rPr>
        <w:t xml:space="preserve"> de la </w:t>
      </w:r>
      <w:proofErr w:type="spellStart"/>
      <w:r w:rsidRPr="00103448">
        <w:rPr>
          <w:rFonts w:ascii="Times New Roman" w:hAnsi="Times New Roman"/>
          <w:lang w:eastAsia="tr-TR"/>
        </w:rPr>
        <w:t>Garza</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José</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María</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Instituto</w:t>
      </w:r>
      <w:proofErr w:type="spellEnd"/>
      <w:r w:rsidRPr="00103448">
        <w:rPr>
          <w:rFonts w:ascii="Times New Roman" w:hAnsi="Times New Roman"/>
          <w:lang w:eastAsia="tr-TR"/>
        </w:rPr>
        <w:t xml:space="preserve"> De </w:t>
      </w:r>
      <w:proofErr w:type="spellStart"/>
      <w:r w:rsidRPr="00103448">
        <w:rPr>
          <w:rFonts w:ascii="Times New Roman" w:hAnsi="Times New Roman"/>
          <w:lang w:eastAsia="tr-TR"/>
        </w:rPr>
        <w:t>Investigaciones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Jurídicas</w:t>
      </w:r>
      <w:proofErr w:type="spellEnd"/>
      <w:r w:rsidRPr="00103448">
        <w:rPr>
          <w:rFonts w:ascii="Times New Roman" w:hAnsi="Times New Roman"/>
          <w:lang w:eastAsia="tr-TR"/>
        </w:rPr>
        <w:t>, 2020</w:t>
      </w:r>
      <w:r>
        <w:rPr>
          <w:rFonts w:ascii="Times New Roman" w:hAnsi="Times New Roman"/>
          <w:lang w:eastAsia="tr-TR"/>
        </w:rPr>
        <w:t>.</w:t>
      </w:r>
      <w:r w:rsidRPr="00103448">
        <w:rPr>
          <w:rFonts w:ascii="Times New Roman" w:hAnsi="Times New Roman"/>
          <w:lang w:eastAsia="tr-TR"/>
        </w:rPr>
        <w:t xml:space="preserve"> </w:t>
      </w:r>
    </w:p>
    <w:p w14:paraId="249950C4" w14:textId="77777777" w:rsidR="007A253E" w:rsidRDefault="007A253E" w:rsidP="00503EB4">
      <w:pPr>
        <w:jc w:val="both"/>
        <w:rPr>
          <w:rFonts w:ascii="Times New Roman" w:hAnsi="Times New Roman"/>
          <w:lang w:eastAsia="tr-TR"/>
        </w:rPr>
      </w:pPr>
      <w:r w:rsidRPr="00103448">
        <w:rPr>
          <w:rFonts w:ascii="Times New Roman" w:hAnsi="Times New Roman"/>
          <w:lang w:eastAsia="tr-TR"/>
        </w:rPr>
        <w:t xml:space="preserve">Volkan Aslan, “COVID-19 Salgını Sebebiyle Uygulanan Sokağa Çıkma Kısıtlamalarının 1982 Anayasası’na Uygunluğu, </w:t>
      </w:r>
      <w:r w:rsidRPr="007A253E">
        <w:rPr>
          <w:rFonts w:ascii="Times New Roman" w:hAnsi="Times New Roman"/>
          <w:i/>
          <w:iCs/>
          <w:lang w:eastAsia="tr-TR"/>
        </w:rPr>
        <w:t>İstanbul Hukuk Mecmuası</w:t>
      </w:r>
      <w:r w:rsidRPr="00103448">
        <w:rPr>
          <w:rFonts w:ascii="Times New Roman" w:hAnsi="Times New Roman"/>
          <w:lang w:eastAsia="tr-TR"/>
        </w:rPr>
        <w:t xml:space="preserve"> 78/2, 2020</w:t>
      </w:r>
      <w:r>
        <w:rPr>
          <w:rFonts w:ascii="Times New Roman" w:hAnsi="Times New Roman"/>
          <w:lang w:eastAsia="tr-TR"/>
        </w:rPr>
        <w:t>.</w:t>
      </w:r>
    </w:p>
    <w:p w14:paraId="28BC4872" w14:textId="638A2A95" w:rsidR="007A253E" w:rsidRDefault="007A253E" w:rsidP="00503EB4">
      <w:pPr>
        <w:jc w:val="both"/>
        <w:rPr>
          <w:rFonts w:ascii="Times New Roman" w:hAnsi="Times New Roman"/>
          <w:lang w:eastAsia="tr-TR"/>
        </w:rPr>
      </w:pPr>
      <w:r w:rsidRPr="00103448">
        <w:rPr>
          <w:rFonts w:ascii="Times New Roman" w:hAnsi="Times New Roman"/>
          <w:lang w:eastAsia="tr-TR"/>
        </w:rPr>
        <w:t xml:space="preserve">Wolfgang Merkel, “Embedded </w:t>
      </w:r>
      <w:proofErr w:type="spellStart"/>
      <w:r w:rsidRPr="00103448">
        <w:rPr>
          <w:rFonts w:ascii="Times New Roman" w:hAnsi="Times New Roman"/>
          <w:lang w:eastAsia="tr-TR"/>
        </w:rPr>
        <w:t>and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Defective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Democracies</w:t>
      </w:r>
      <w:proofErr w:type="spellEnd"/>
      <w:r w:rsidRPr="00103448">
        <w:rPr>
          <w:rFonts w:ascii="Times New Roman" w:hAnsi="Times New Roman"/>
          <w:lang w:eastAsia="tr-TR"/>
        </w:rPr>
        <w:t xml:space="preserve">”, </w:t>
      </w:r>
      <w:proofErr w:type="spellStart"/>
      <w:r w:rsidRPr="007A253E">
        <w:rPr>
          <w:rFonts w:ascii="Times New Roman" w:hAnsi="Times New Roman"/>
          <w:i/>
          <w:iCs/>
          <w:lang w:eastAsia="tr-TR"/>
        </w:rPr>
        <w:t>Democratization</w:t>
      </w:r>
      <w:proofErr w:type="spellEnd"/>
      <w:r>
        <w:rPr>
          <w:rFonts w:ascii="Times New Roman" w:hAnsi="Times New Roman"/>
          <w:lang w:eastAsia="tr-TR"/>
        </w:rPr>
        <w:t xml:space="preserve"> </w:t>
      </w:r>
      <w:r w:rsidRPr="00103448">
        <w:rPr>
          <w:rFonts w:ascii="Times New Roman" w:hAnsi="Times New Roman"/>
          <w:lang w:eastAsia="tr-TR"/>
        </w:rPr>
        <w:t>11</w:t>
      </w:r>
      <w:r>
        <w:rPr>
          <w:rFonts w:ascii="Times New Roman" w:hAnsi="Times New Roman"/>
          <w:lang w:eastAsia="tr-TR"/>
        </w:rPr>
        <w:t>/</w:t>
      </w:r>
      <w:r w:rsidRPr="00103448">
        <w:rPr>
          <w:rFonts w:ascii="Times New Roman" w:hAnsi="Times New Roman"/>
          <w:lang w:eastAsia="tr-TR"/>
        </w:rPr>
        <w:t>5, 2004</w:t>
      </w:r>
      <w:r>
        <w:rPr>
          <w:rFonts w:ascii="Times New Roman" w:hAnsi="Times New Roman"/>
          <w:lang w:eastAsia="tr-TR"/>
        </w:rPr>
        <w:t>.</w:t>
      </w:r>
    </w:p>
    <w:p w14:paraId="5A33FDB4" w14:textId="77777777" w:rsidR="007A253E" w:rsidRDefault="007A253E" w:rsidP="00503EB4">
      <w:pPr>
        <w:jc w:val="both"/>
        <w:rPr>
          <w:rFonts w:ascii="Times New Roman" w:hAnsi="Times New Roman"/>
          <w:lang w:eastAsia="tr-TR"/>
        </w:rPr>
      </w:pPr>
      <w:r>
        <w:rPr>
          <w:rFonts w:ascii="Times New Roman" w:hAnsi="Times New Roman"/>
          <w:lang w:eastAsia="tr-TR"/>
        </w:rPr>
        <w:t>Y</w:t>
      </w:r>
      <w:r w:rsidRPr="00103448">
        <w:rPr>
          <w:rFonts w:ascii="Times New Roman" w:hAnsi="Times New Roman"/>
          <w:lang w:eastAsia="tr-TR"/>
        </w:rPr>
        <w:t xml:space="preserve">avuz Sabuncu, </w:t>
      </w:r>
      <w:r w:rsidRPr="007A253E">
        <w:rPr>
          <w:rFonts w:ascii="Times New Roman" w:hAnsi="Times New Roman"/>
          <w:i/>
          <w:iCs/>
          <w:lang w:eastAsia="tr-TR"/>
        </w:rPr>
        <w:t>Anayasaya Giriş</w:t>
      </w:r>
      <w:r w:rsidRPr="00103448">
        <w:rPr>
          <w:rFonts w:ascii="Times New Roman" w:hAnsi="Times New Roman"/>
          <w:lang w:eastAsia="tr-TR"/>
        </w:rPr>
        <w:t>, İmaj Yayınevi, 11. b., Ankara, 2005</w:t>
      </w:r>
      <w:r>
        <w:rPr>
          <w:rFonts w:ascii="Times New Roman" w:hAnsi="Times New Roman"/>
          <w:lang w:eastAsia="tr-TR"/>
        </w:rPr>
        <w:t>.</w:t>
      </w:r>
    </w:p>
    <w:p w14:paraId="33A00094" w14:textId="29BF3EE9" w:rsidR="007A253E" w:rsidRPr="007A253E" w:rsidRDefault="007A253E" w:rsidP="00503EB4">
      <w:pPr>
        <w:jc w:val="both"/>
        <w:rPr>
          <w:rFonts w:ascii="Times New Roman" w:hAnsi="Times New Roman"/>
          <w:b/>
          <w:bCs/>
          <w:lang w:eastAsia="tr-TR"/>
        </w:rPr>
      </w:pPr>
      <w:r w:rsidRPr="007A253E">
        <w:rPr>
          <w:rFonts w:ascii="Times New Roman" w:hAnsi="Times New Roman"/>
          <w:b/>
          <w:bCs/>
          <w:lang w:eastAsia="tr-TR"/>
        </w:rPr>
        <w:t>II. MAHKEME KARARLARI VE DİĞER KAYNAKLAR</w:t>
      </w:r>
    </w:p>
    <w:p w14:paraId="168FE349" w14:textId="77777777" w:rsidR="00D93276" w:rsidRPr="00103448" w:rsidRDefault="00D93276" w:rsidP="00503EB4">
      <w:pPr>
        <w:jc w:val="both"/>
        <w:rPr>
          <w:rFonts w:ascii="Times New Roman" w:hAnsi="Times New Roman"/>
          <w:lang w:eastAsia="tr-TR"/>
        </w:rPr>
      </w:pPr>
      <w:r w:rsidRPr="00103448">
        <w:rPr>
          <w:rFonts w:ascii="Times New Roman" w:hAnsi="Times New Roman"/>
          <w:lang w:eastAsia="tr-TR"/>
        </w:rPr>
        <w:t>“</w:t>
      </w:r>
      <w:proofErr w:type="spellStart"/>
      <w:r w:rsidRPr="00103448">
        <w:rPr>
          <w:rFonts w:ascii="Times New Roman" w:hAnsi="Times New Roman"/>
          <w:lang w:eastAsia="tr-TR"/>
        </w:rPr>
        <w:t>States</w:t>
      </w:r>
      <w:proofErr w:type="spellEnd"/>
      <w:r w:rsidRPr="00103448">
        <w:rPr>
          <w:rFonts w:ascii="Times New Roman" w:hAnsi="Times New Roman"/>
          <w:lang w:eastAsia="tr-TR"/>
        </w:rPr>
        <w:t xml:space="preserve"> of </w:t>
      </w:r>
      <w:proofErr w:type="spellStart"/>
      <w:r w:rsidRPr="00103448">
        <w:rPr>
          <w:rFonts w:ascii="Times New Roman" w:hAnsi="Times New Roman"/>
          <w:lang w:eastAsia="tr-TR"/>
        </w:rPr>
        <w:t>Emergency</w:t>
      </w:r>
      <w:proofErr w:type="spellEnd"/>
      <w:r w:rsidRPr="00103448">
        <w:rPr>
          <w:rFonts w:ascii="Times New Roman" w:hAnsi="Times New Roman"/>
          <w:lang w:eastAsia="tr-TR"/>
        </w:rPr>
        <w:t xml:space="preserve"> in </w:t>
      </w:r>
      <w:proofErr w:type="spellStart"/>
      <w:r w:rsidRPr="00103448">
        <w:rPr>
          <w:rFonts w:ascii="Times New Roman" w:hAnsi="Times New Roman"/>
          <w:lang w:eastAsia="tr-TR"/>
        </w:rPr>
        <w:t>Response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to</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Coronavirus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Crisis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Situation</w:t>
      </w:r>
      <w:proofErr w:type="spellEnd"/>
      <w:r w:rsidRPr="00103448">
        <w:rPr>
          <w:rFonts w:ascii="Times New Roman" w:hAnsi="Times New Roman"/>
          <w:lang w:eastAsia="tr-TR"/>
        </w:rPr>
        <w:t xml:space="preserve"> in </w:t>
      </w:r>
      <w:proofErr w:type="spellStart"/>
      <w:r w:rsidRPr="00103448">
        <w:rPr>
          <w:rFonts w:ascii="Times New Roman" w:hAnsi="Times New Roman"/>
          <w:lang w:eastAsia="tr-TR"/>
        </w:rPr>
        <w:t>Certain</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Member</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States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European</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Parliamentary</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Research</w:t>
      </w:r>
      <w:proofErr w:type="spellEnd"/>
      <w:r w:rsidRPr="00103448">
        <w:rPr>
          <w:rFonts w:ascii="Times New Roman" w:hAnsi="Times New Roman"/>
          <w:lang w:eastAsia="tr-TR"/>
        </w:rPr>
        <w:t xml:space="preserve"> Service/EPRS, </w:t>
      </w:r>
      <w:proofErr w:type="spellStart"/>
      <w:r w:rsidRPr="00103448">
        <w:rPr>
          <w:rFonts w:ascii="Times New Roman" w:hAnsi="Times New Roman"/>
          <w:lang w:eastAsia="tr-TR"/>
        </w:rPr>
        <w:t>June</w:t>
      </w:r>
      <w:proofErr w:type="spellEnd"/>
      <w:r w:rsidRPr="00103448">
        <w:rPr>
          <w:rFonts w:ascii="Times New Roman" w:hAnsi="Times New Roman"/>
          <w:lang w:eastAsia="tr-TR"/>
        </w:rPr>
        <w:t xml:space="preserve"> 2020.</w:t>
      </w:r>
    </w:p>
    <w:p w14:paraId="290F220A" w14:textId="77777777" w:rsidR="00D93276" w:rsidRDefault="00D93276" w:rsidP="00503EB4">
      <w:pPr>
        <w:jc w:val="both"/>
        <w:rPr>
          <w:rFonts w:ascii="Times New Roman" w:hAnsi="Times New Roman"/>
          <w:lang w:eastAsia="tr-TR"/>
        </w:rPr>
      </w:pPr>
      <w:proofErr w:type="spellStart"/>
      <w:r w:rsidRPr="00103448">
        <w:rPr>
          <w:rFonts w:ascii="Times New Roman" w:hAnsi="Times New Roman"/>
          <w:lang w:eastAsia="tr-TR"/>
        </w:rPr>
        <w:t>Act</w:t>
      </w:r>
      <w:proofErr w:type="spellEnd"/>
      <w:r w:rsidRPr="00103448">
        <w:rPr>
          <w:rFonts w:ascii="Times New Roman" w:hAnsi="Times New Roman"/>
          <w:lang w:eastAsia="tr-TR"/>
        </w:rPr>
        <w:t xml:space="preserve"> N</w:t>
      </w:r>
      <w:r>
        <w:rPr>
          <w:rFonts w:ascii="Times New Roman" w:hAnsi="Times New Roman"/>
          <w:lang w:eastAsia="tr-TR"/>
        </w:rPr>
        <w:t>o</w:t>
      </w:r>
      <w:r w:rsidRPr="00103448">
        <w:rPr>
          <w:rFonts w:ascii="Times New Roman" w:hAnsi="Times New Roman"/>
          <w:lang w:eastAsia="tr-TR"/>
        </w:rPr>
        <w:t>. 12</w:t>
      </w:r>
      <w:r>
        <w:rPr>
          <w:rFonts w:ascii="Times New Roman" w:hAnsi="Times New Roman"/>
          <w:lang w:eastAsia="tr-TR"/>
        </w:rPr>
        <w:t xml:space="preserve"> o</w:t>
      </w:r>
      <w:r w:rsidRPr="00103448">
        <w:rPr>
          <w:rFonts w:ascii="Times New Roman" w:hAnsi="Times New Roman"/>
          <w:lang w:eastAsia="tr-TR"/>
        </w:rPr>
        <w:t xml:space="preserve">f 2020 on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Defence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Against</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Coronavirus</w:t>
      </w:r>
      <w:proofErr w:type="spellEnd"/>
      <w:r w:rsidRPr="00103448">
        <w:rPr>
          <w:rFonts w:ascii="Times New Roman" w:hAnsi="Times New Roman"/>
          <w:lang w:eastAsia="tr-TR"/>
        </w:rPr>
        <w:t>.</w:t>
      </w:r>
    </w:p>
    <w:p w14:paraId="4499AE27" w14:textId="77777777" w:rsidR="00D93276" w:rsidRPr="00103448" w:rsidRDefault="00D93276" w:rsidP="00503EB4">
      <w:pPr>
        <w:jc w:val="both"/>
        <w:rPr>
          <w:rFonts w:ascii="Times New Roman" w:hAnsi="Times New Roman"/>
          <w:lang w:eastAsia="tr-TR"/>
        </w:rPr>
      </w:pPr>
      <w:proofErr w:type="spellStart"/>
      <w:r w:rsidRPr="00103448">
        <w:rPr>
          <w:rFonts w:ascii="Times New Roman" w:hAnsi="Times New Roman"/>
          <w:lang w:eastAsia="tr-TR"/>
        </w:rPr>
        <w:t>Act</w:t>
      </w:r>
      <w:proofErr w:type="spellEnd"/>
      <w:r w:rsidRPr="00103448">
        <w:rPr>
          <w:rFonts w:ascii="Times New Roman" w:hAnsi="Times New Roman"/>
          <w:lang w:eastAsia="tr-TR"/>
        </w:rPr>
        <w:t xml:space="preserve"> No. 208 of 17 </w:t>
      </w:r>
      <w:proofErr w:type="spellStart"/>
      <w:r w:rsidRPr="00103448">
        <w:rPr>
          <w:rFonts w:ascii="Times New Roman" w:hAnsi="Times New Roman"/>
          <w:lang w:eastAsia="tr-TR"/>
        </w:rPr>
        <w:t>March</w:t>
      </w:r>
      <w:proofErr w:type="spellEnd"/>
      <w:r w:rsidRPr="00103448">
        <w:rPr>
          <w:rFonts w:ascii="Times New Roman" w:hAnsi="Times New Roman"/>
          <w:lang w:eastAsia="tr-TR"/>
        </w:rPr>
        <w:t xml:space="preserve"> 2020.</w:t>
      </w:r>
    </w:p>
    <w:p w14:paraId="56BAE3CF" w14:textId="77777777" w:rsidR="00D93276" w:rsidRDefault="00D93276" w:rsidP="00503EB4">
      <w:pPr>
        <w:jc w:val="both"/>
        <w:rPr>
          <w:rFonts w:ascii="Times New Roman" w:hAnsi="Times New Roman"/>
          <w:lang w:eastAsia="tr-TR"/>
        </w:rPr>
      </w:pPr>
      <w:proofErr w:type="spellStart"/>
      <w:r w:rsidRPr="00103448">
        <w:rPr>
          <w:rFonts w:ascii="Times New Roman" w:hAnsi="Times New Roman"/>
          <w:lang w:eastAsia="tr-TR"/>
        </w:rPr>
        <w:t>Bundestag-Drucksache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Nr</w:t>
      </w:r>
      <w:proofErr w:type="spellEnd"/>
      <w:r w:rsidRPr="00103448">
        <w:rPr>
          <w:rFonts w:ascii="Times New Roman" w:hAnsi="Times New Roman"/>
          <w:lang w:eastAsia="tr-TR"/>
        </w:rPr>
        <w:t>. 19/18126.</w:t>
      </w:r>
    </w:p>
    <w:p w14:paraId="5AC26DA4" w14:textId="77777777" w:rsidR="00D93276" w:rsidRPr="00103448" w:rsidRDefault="00D93276" w:rsidP="00503EB4">
      <w:pPr>
        <w:jc w:val="both"/>
        <w:rPr>
          <w:rFonts w:ascii="Times New Roman" w:hAnsi="Times New Roman"/>
          <w:lang w:eastAsia="tr-TR"/>
        </w:rPr>
      </w:pPr>
      <w:proofErr w:type="spellStart"/>
      <w:r w:rsidRPr="00103448">
        <w:rPr>
          <w:rFonts w:ascii="Times New Roman" w:hAnsi="Times New Roman"/>
          <w:lang w:eastAsia="tr-TR"/>
        </w:rPr>
        <w:t>Council</w:t>
      </w:r>
      <w:proofErr w:type="spellEnd"/>
      <w:r w:rsidRPr="00103448">
        <w:rPr>
          <w:rFonts w:ascii="Times New Roman" w:hAnsi="Times New Roman"/>
          <w:lang w:eastAsia="tr-TR"/>
        </w:rPr>
        <w:t xml:space="preserve"> of Europe, </w:t>
      </w:r>
      <w:r w:rsidRPr="00D93276">
        <w:rPr>
          <w:rFonts w:ascii="Times New Roman" w:hAnsi="Times New Roman"/>
          <w:i/>
          <w:iCs/>
          <w:lang w:eastAsia="tr-TR"/>
        </w:rPr>
        <w:t xml:space="preserve">Memorandum on </w:t>
      </w:r>
      <w:proofErr w:type="spellStart"/>
      <w:r w:rsidRPr="00D93276">
        <w:rPr>
          <w:rFonts w:ascii="Times New Roman" w:hAnsi="Times New Roman"/>
          <w:i/>
          <w:iCs/>
          <w:lang w:eastAsia="tr-TR"/>
        </w:rPr>
        <w:t>the</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Stigmatisation</w:t>
      </w:r>
      <w:proofErr w:type="spellEnd"/>
      <w:r w:rsidRPr="00D93276">
        <w:rPr>
          <w:rFonts w:ascii="Times New Roman" w:hAnsi="Times New Roman"/>
          <w:i/>
          <w:iCs/>
          <w:lang w:eastAsia="tr-TR"/>
        </w:rPr>
        <w:t xml:space="preserve"> of LGBTI People in Poland</w:t>
      </w:r>
      <w:r w:rsidRPr="00103448">
        <w:rPr>
          <w:rFonts w:ascii="Times New Roman" w:hAnsi="Times New Roman"/>
          <w:lang w:eastAsia="tr-TR"/>
        </w:rPr>
        <w:t xml:space="preserve">, </w:t>
      </w:r>
      <w:proofErr w:type="spellStart"/>
      <w:r w:rsidRPr="00103448">
        <w:rPr>
          <w:rFonts w:ascii="Times New Roman" w:hAnsi="Times New Roman"/>
          <w:lang w:eastAsia="tr-TR"/>
        </w:rPr>
        <w:t>CommDH</w:t>
      </w:r>
      <w:proofErr w:type="spellEnd"/>
      <w:r w:rsidRPr="00103448">
        <w:rPr>
          <w:rFonts w:ascii="Times New Roman" w:hAnsi="Times New Roman"/>
          <w:lang w:eastAsia="tr-TR"/>
        </w:rPr>
        <w:t xml:space="preserve"> (2020)27, 03.12.2020.</w:t>
      </w:r>
    </w:p>
    <w:p w14:paraId="6FF50690" w14:textId="77777777" w:rsidR="00D93276" w:rsidRDefault="00D93276" w:rsidP="00503EB4">
      <w:pPr>
        <w:jc w:val="both"/>
        <w:rPr>
          <w:rFonts w:ascii="Times New Roman" w:hAnsi="Times New Roman"/>
          <w:lang w:eastAsia="tr-TR"/>
        </w:rPr>
      </w:pPr>
      <w:proofErr w:type="spellStart"/>
      <w:r w:rsidRPr="00103448">
        <w:rPr>
          <w:rFonts w:ascii="Times New Roman" w:hAnsi="Times New Roman"/>
          <w:lang w:eastAsia="tr-TR"/>
        </w:rPr>
        <w:t>Council</w:t>
      </w:r>
      <w:proofErr w:type="spellEnd"/>
      <w:r w:rsidRPr="00103448">
        <w:rPr>
          <w:rFonts w:ascii="Times New Roman" w:hAnsi="Times New Roman"/>
          <w:lang w:eastAsia="tr-TR"/>
        </w:rPr>
        <w:t xml:space="preserve"> of Europe, </w:t>
      </w:r>
      <w:proofErr w:type="spellStart"/>
      <w:r w:rsidRPr="00D93276">
        <w:rPr>
          <w:rFonts w:ascii="Times New Roman" w:hAnsi="Times New Roman"/>
          <w:i/>
          <w:iCs/>
          <w:lang w:eastAsia="tr-TR"/>
        </w:rPr>
        <w:t>Respecting</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Democracy</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Rule</w:t>
      </w:r>
      <w:proofErr w:type="spellEnd"/>
      <w:r w:rsidRPr="00D93276">
        <w:rPr>
          <w:rFonts w:ascii="Times New Roman" w:hAnsi="Times New Roman"/>
          <w:i/>
          <w:iCs/>
          <w:lang w:eastAsia="tr-TR"/>
        </w:rPr>
        <w:t xml:space="preserve"> of </w:t>
      </w:r>
      <w:proofErr w:type="spellStart"/>
      <w:r w:rsidRPr="00D93276">
        <w:rPr>
          <w:rFonts w:ascii="Times New Roman" w:hAnsi="Times New Roman"/>
          <w:i/>
          <w:iCs/>
          <w:lang w:eastAsia="tr-TR"/>
        </w:rPr>
        <w:t>Law</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and</w:t>
      </w:r>
      <w:proofErr w:type="spellEnd"/>
      <w:r w:rsidRPr="00D93276">
        <w:rPr>
          <w:rFonts w:ascii="Times New Roman" w:hAnsi="Times New Roman"/>
          <w:i/>
          <w:iCs/>
          <w:lang w:eastAsia="tr-TR"/>
        </w:rPr>
        <w:t xml:space="preserve"> Human </w:t>
      </w:r>
      <w:proofErr w:type="spellStart"/>
      <w:r w:rsidRPr="00D93276">
        <w:rPr>
          <w:rFonts w:ascii="Times New Roman" w:hAnsi="Times New Roman"/>
          <w:i/>
          <w:iCs/>
          <w:lang w:eastAsia="tr-TR"/>
        </w:rPr>
        <w:t>Rights</w:t>
      </w:r>
      <w:proofErr w:type="spellEnd"/>
      <w:r w:rsidRPr="00D93276">
        <w:rPr>
          <w:rFonts w:ascii="Times New Roman" w:hAnsi="Times New Roman"/>
          <w:i/>
          <w:iCs/>
          <w:lang w:eastAsia="tr-TR"/>
        </w:rPr>
        <w:t xml:space="preserve"> in </w:t>
      </w:r>
      <w:proofErr w:type="spellStart"/>
      <w:r w:rsidRPr="00D93276">
        <w:rPr>
          <w:rFonts w:ascii="Times New Roman" w:hAnsi="Times New Roman"/>
          <w:i/>
          <w:iCs/>
          <w:lang w:eastAsia="tr-TR"/>
        </w:rPr>
        <w:t>the</w:t>
      </w:r>
      <w:proofErr w:type="spellEnd"/>
      <w:r w:rsidRPr="00D93276">
        <w:rPr>
          <w:rFonts w:ascii="Times New Roman" w:hAnsi="Times New Roman"/>
          <w:i/>
          <w:iCs/>
          <w:lang w:eastAsia="tr-TR"/>
        </w:rPr>
        <w:t xml:space="preserve"> Framework of </w:t>
      </w:r>
      <w:proofErr w:type="spellStart"/>
      <w:r w:rsidRPr="00D93276">
        <w:rPr>
          <w:rFonts w:ascii="Times New Roman" w:hAnsi="Times New Roman"/>
          <w:i/>
          <w:iCs/>
          <w:lang w:eastAsia="tr-TR"/>
        </w:rPr>
        <w:t>the</w:t>
      </w:r>
      <w:proofErr w:type="spellEnd"/>
      <w:r w:rsidRPr="00D93276">
        <w:rPr>
          <w:rFonts w:ascii="Times New Roman" w:hAnsi="Times New Roman"/>
          <w:i/>
          <w:iCs/>
          <w:lang w:eastAsia="tr-TR"/>
        </w:rPr>
        <w:t xml:space="preserve"> COVID-19 </w:t>
      </w:r>
      <w:proofErr w:type="spellStart"/>
      <w:r w:rsidRPr="00D93276">
        <w:rPr>
          <w:rFonts w:ascii="Times New Roman" w:hAnsi="Times New Roman"/>
          <w:i/>
          <w:iCs/>
          <w:lang w:eastAsia="tr-TR"/>
        </w:rPr>
        <w:t>Sanitary</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Crisis</w:t>
      </w:r>
      <w:proofErr w:type="spellEnd"/>
      <w:r w:rsidRPr="00D93276">
        <w:rPr>
          <w:rFonts w:ascii="Times New Roman" w:hAnsi="Times New Roman"/>
          <w:i/>
          <w:iCs/>
          <w:lang w:eastAsia="tr-TR"/>
        </w:rPr>
        <w:t xml:space="preserve">: A Toolkit </w:t>
      </w:r>
      <w:proofErr w:type="spellStart"/>
      <w:r w:rsidRPr="00D93276">
        <w:rPr>
          <w:rFonts w:ascii="Times New Roman" w:hAnsi="Times New Roman"/>
          <w:i/>
          <w:iCs/>
          <w:lang w:eastAsia="tr-TR"/>
        </w:rPr>
        <w:t>for</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Member</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States</w:t>
      </w:r>
      <w:proofErr w:type="spellEnd"/>
      <w:r w:rsidRPr="00103448">
        <w:rPr>
          <w:rFonts w:ascii="Times New Roman" w:hAnsi="Times New Roman"/>
          <w:lang w:eastAsia="tr-TR"/>
        </w:rPr>
        <w:t>, SG/</w:t>
      </w:r>
      <w:proofErr w:type="spellStart"/>
      <w:proofErr w:type="gramStart"/>
      <w:r w:rsidRPr="00103448">
        <w:rPr>
          <w:rFonts w:ascii="Times New Roman" w:hAnsi="Times New Roman"/>
          <w:lang w:eastAsia="tr-TR"/>
        </w:rPr>
        <w:t>Inf</w:t>
      </w:r>
      <w:proofErr w:type="spellEnd"/>
      <w:r w:rsidRPr="00103448">
        <w:rPr>
          <w:rFonts w:ascii="Times New Roman" w:hAnsi="Times New Roman"/>
          <w:lang w:eastAsia="tr-TR"/>
        </w:rPr>
        <w:t>(</w:t>
      </w:r>
      <w:proofErr w:type="gramEnd"/>
      <w:r w:rsidRPr="00103448">
        <w:rPr>
          <w:rFonts w:ascii="Times New Roman" w:hAnsi="Times New Roman"/>
          <w:lang w:eastAsia="tr-TR"/>
        </w:rPr>
        <w:t>2020)11, 07.04.2020</w:t>
      </w:r>
      <w:r>
        <w:rPr>
          <w:rFonts w:ascii="Times New Roman" w:hAnsi="Times New Roman"/>
          <w:lang w:eastAsia="tr-TR"/>
        </w:rPr>
        <w:t>.</w:t>
      </w:r>
    </w:p>
    <w:p w14:paraId="2609C849" w14:textId="77777777" w:rsidR="00D93276" w:rsidRDefault="00D93276" w:rsidP="00503EB4">
      <w:pPr>
        <w:jc w:val="both"/>
        <w:rPr>
          <w:rFonts w:ascii="Times New Roman" w:hAnsi="Times New Roman"/>
          <w:lang w:eastAsia="tr-TR"/>
        </w:rPr>
      </w:pPr>
      <w:r w:rsidRPr="00103448">
        <w:rPr>
          <w:rFonts w:ascii="Times New Roman" w:hAnsi="Times New Roman"/>
          <w:lang w:eastAsia="tr-TR"/>
        </w:rPr>
        <w:t xml:space="preserve">Covid-19 </w:t>
      </w:r>
      <w:proofErr w:type="spellStart"/>
      <w:r w:rsidRPr="00103448">
        <w:rPr>
          <w:rFonts w:ascii="Times New Roman" w:hAnsi="Times New Roman"/>
          <w:lang w:eastAsia="tr-TR"/>
        </w:rPr>
        <w:t>and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Impact</w:t>
      </w:r>
      <w:proofErr w:type="spellEnd"/>
      <w:r w:rsidRPr="00103448">
        <w:rPr>
          <w:rFonts w:ascii="Times New Roman" w:hAnsi="Times New Roman"/>
          <w:lang w:eastAsia="tr-TR"/>
        </w:rPr>
        <w:t xml:space="preserve"> on Human </w:t>
      </w:r>
      <w:proofErr w:type="spellStart"/>
      <w:r w:rsidRPr="00103448">
        <w:rPr>
          <w:rFonts w:ascii="Times New Roman" w:hAnsi="Times New Roman"/>
          <w:lang w:eastAsia="tr-TR"/>
        </w:rPr>
        <w:t>Rights</w:t>
      </w:r>
      <w:proofErr w:type="spellEnd"/>
      <w:r w:rsidRPr="00103448">
        <w:rPr>
          <w:rFonts w:ascii="Times New Roman" w:hAnsi="Times New Roman"/>
          <w:lang w:eastAsia="tr-TR"/>
        </w:rPr>
        <w:t xml:space="preserve"> An </w:t>
      </w:r>
      <w:proofErr w:type="spellStart"/>
      <w:r w:rsidRPr="00103448">
        <w:rPr>
          <w:rFonts w:ascii="Times New Roman" w:hAnsi="Times New Roman"/>
          <w:lang w:eastAsia="tr-TR"/>
        </w:rPr>
        <w:t>overview</w:t>
      </w:r>
      <w:proofErr w:type="spellEnd"/>
      <w:r w:rsidRPr="00103448">
        <w:rPr>
          <w:rFonts w:ascii="Times New Roman" w:hAnsi="Times New Roman"/>
          <w:lang w:eastAsia="tr-TR"/>
        </w:rPr>
        <w:t xml:space="preserve"> of </w:t>
      </w:r>
      <w:proofErr w:type="spellStart"/>
      <w:r w:rsidRPr="00103448">
        <w:rPr>
          <w:rFonts w:ascii="Times New Roman" w:hAnsi="Times New Roman"/>
          <w:lang w:eastAsia="tr-TR"/>
        </w:rPr>
        <w:t>relevant</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jurisprudence</w:t>
      </w:r>
      <w:proofErr w:type="spellEnd"/>
      <w:r w:rsidRPr="00103448">
        <w:rPr>
          <w:rFonts w:ascii="Times New Roman" w:hAnsi="Times New Roman"/>
          <w:lang w:eastAsia="tr-TR"/>
        </w:rPr>
        <w:t xml:space="preserve"> of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European</w:t>
      </w:r>
      <w:proofErr w:type="spellEnd"/>
      <w:r w:rsidRPr="00103448">
        <w:rPr>
          <w:rFonts w:ascii="Times New Roman" w:hAnsi="Times New Roman"/>
          <w:lang w:eastAsia="tr-TR"/>
        </w:rPr>
        <w:t xml:space="preserve"> Court of Human </w:t>
      </w:r>
      <w:proofErr w:type="spellStart"/>
      <w:r w:rsidRPr="00103448">
        <w:rPr>
          <w:rFonts w:ascii="Times New Roman" w:hAnsi="Times New Roman"/>
          <w:lang w:eastAsia="tr-TR"/>
        </w:rPr>
        <w:t>Rights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AIRE </w:t>
      </w:r>
      <w:proofErr w:type="spellStart"/>
      <w:r w:rsidRPr="00103448">
        <w:rPr>
          <w:rFonts w:ascii="Times New Roman" w:hAnsi="Times New Roman"/>
          <w:lang w:eastAsia="tr-TR"/>
        </w:rPr>
        <w:t>Centre</w:t>
      </w:r>
      <w:proofErr w:type="spellEnd"/>
      <w:r w:rsidRPr="00103448">
        <w:rPr>
          <w:rFonts w:ascii="Times New Roman" w:hAnsi="Times New Roman"/>
          <w:lang w:eastAsia="tr-TR"/>
        </w:rPr>
        <w:t xml:space="preserve"> / </w:t>
      </w:r>
      <w:proofErr w:type="spellStart"/>
      <w:r w:rsidRPr="00103448">
        <w:rPr>
          <w:rFonts w:ascii="Times New Roman" w:hAnsi="Times New Roman"/>
          <w:lang w:eastAsia="tr-TR"/>
        </w:rPr>
        <w:t>Civil</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Rights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Defenders</w:t>
      </w:r>
      <w:proofErr w:type="spellEnd"/>
      <w:r w:rsidRPr="00103448">
        <w:rPr>
          <w:rFonts w:ascii="Times New Roman" w:hAnsi="Times New Roman"/>
          <w:lang w:eastAsia="tr-TR"/>
        </w:rPr>
        <w:t>, 2020</w:t>
      </w:r>
      <w:r>
        <w:rPr>
          <w:rFonts w:ascii="Times New Roman" w:hAnsi="Times New Roman"/>
          <w:lang w:eastAsia="tr-TR"/>
        </w:rPr>
        <w:t>.</w:t>
      </w:r>
    </w:p>
    <w:p w14:paraId="605569AA" w14:textId="77777777" w:rsidR="00D93276" w:rsidRDefault="00D93276" w:rsidP="00503EB4">
      <w:pPr>
        <w:jc w:val="both"/>
        <w:rPr>
          <w:rFonts w:ascii="Times New Roman" w:hAnsi="Times New Roman"/>
          <w:lang w:eastAsia="tr-TR"/>
        </w:rPr>
      </w:pPr>
      <w:r w:rsidRPr="00103448">
        <w:rPr>
          <w:rFonts w:ascii="Times New Roman" w:hAnsi="Times New Roman"/>
          <w:lang w:eastAsia="tr-TR"/>
        </w:rPr>
        <w:t xml:space="preserve">ECHR, </w:t>
      </w:r>
      <w:proofErr w:type="spellStart"/>
      <w:r w:rsidRPr="00D93276">
        <w:rPr>
          <w:rFonts w:ascii="Times New Roman" w:hAnsi="Times New Roman"/>
          <w:i/>
          <w:iCs/>
          <w:lang w:eastAsia="tr-TR"/>
        </w:rPr>
        <w:t>Bączkowski</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and</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Others</w:t>
      </w:r>
      <w:proofErr w:type="spellEnd"/>
      <w:r w:rsidRPr="00D93276">
        <w:rPr>
          <w:rFonts w:ascii="Times New Roman" w:hAnsi="Times New Roman"/>
          <w:i/>
          <w:iCs/>
          <w:lang w:eastAsia="tr-TR"/>
        </w:rPr>
        <w:t xml:space="preserve"> v. Poland</w:t>
      </w:r>
      <w:r w:rsidRPr="00103448">
        <w:rPr>
          <w:rFonts w:ascii="Times New Roman" w:hAnsi="Times New Roman"/>
          <w:lang w:eastAsia="tr-TR"/>
        </w:rPr>
        <w:t>, 03.05.2007, No. 1543/06</w:t>
      </w:r>
      <w:r>
        <w:rPr>
          <w:rFonts w:ascii="Times New Roman" w:hAnsi="Times New Roman"/>
          <w:lang w:eastAsia="tr-TR"/>
        </w:rPr>
        <w:t>.</w:t>
      </w:r>
      <w:r w:rsidRPr="00103448">
        <w:rPr>
          <w:rFonts w:ascii="Times New Roman" w:hAnsi="Times New Roman"/>
          <w:lang w:eastAsia="tr-TR"/>
        </w:rPr>
        <w:t xml:space="preserve"> </w:t>
      </w:r>
    </w:p>
    <w:p w14:paraId="47C39418" w14:textId="77777777" w:rsidR="00D93276" w:rsidRDefault="00D93276" w:rsidP="00503EB4">
      <w:pPr>
        <w:jc w:val="both"/>
        <w:rPr>
          <w:rFonts w:ascii="Times New Roman" w:hAnsi="Times New Roman"/>
          <w:lang w:eastAsia="tr-TR"/>
        </w:rPr>
      </w:pPr>
      <w:proofErr w:type="gramStart"/>
      <w:r w:rsidRPr="00103448">
        <w:rPr>
          <w:rFonts w:ascii="Times New Roman" w:hAnsi="Times New Roman"/>
          <w:lang w:eastAsia="tr-TR"/>
        </w:rPr>
        <w:t>ECHR,</w:t>
      </w:r>
      <w:proofErr w:type="gramEnd"/>
      <w:r>
        <w:rPr>
          <w:rFonts w:ascii="Times New Roman" w:hAnsi="Times New Roman"/>
          <w:lang w:eastAsia="tr-TR"/>
        </w:rPr>
        <w:t xml:space="preserve"> </w:t>
      </w:r>
      <w:r w:rsidRPr="00D93276">
        <w:rPr>
          <w:rFonts w:ascii="Times New Roman" w:hAnsi="Times New Roman"/>
          <w:i/>
          <w:iCs/>
          <w:lang w:eastAsia="tr-TR"/>
        </w:rPr>
        <w:t xml:space="preserve">De </w:t>
      </w:r>
      <w:proofErr w:type="spellStart"/>
      <w:r w:rsidRPr="00D93276">
        <w:rPr>
          <w:rFonts w:ascii="Times New Roman" w:hAnsi="Times New Roman"/>
          <w:i/>
          <w:iCs/>
          <w:lang w:eastAsia="tr-TR"/>
        </w:rPr>
        <w:t>Tommaso</w:t>
      </w:r>
      <w:proofErr w:type="spellEnd"/>
      <w:r w:rsidRPr="00D93276">
        <w:rPr>
          <w:rFonts w:ascii="Times New Roman" w:hAnsi="Times New Roman"/>
          <w:i/>
          <w:iCs/>
          <w:lang w:eastAsia="tr-TR"/>
        </w:rPr>
        <w:t xml:space="preserve"> v. </w:t>
      </w:r>
      <w:proofErr w:type="spellStart"/>
      <w:r w:rsidRPr="00D93276">
        <w:rPr>
          <w:rFonts w:ascii="Times New Roman" w:hAnsi="Times New Roman"/>
          <w:i/>
          <w:iCs/>
          <w:lang w:eastAsia="tr-TR"/>
        </w:rPr>
        <w:t>Italy</w:t>
      </w:r>
      <w:proofErr w:type="spellEnd"/>
      <w:r w:rsidRPr="00103448">
        <w:rPr>
          <w:rFonts w:ascii="Times New Roman" w:hAnsi="Times New Roman"/>
          <w:lang w:eastAsia="tr-TR"/>
        </w:rPr>
        <w:t>, 23.02.2017, No. 43395/09</w:t>
      </w:r>
    </w:p>
    <w:p w14:paraId="351547CB" w14:textId="77777777" w:rsidR="00D93276" w:rsidRPr="00103448" w:rsidRDefault="00D93276" w:rsidP="00503EB4">
      <w:pPr>
        <w:jc w:val="both"/>
        <w:rPr>
          <w:rFonts w:ascii="Times New Roman" w:hAnsi="Times New Roman"/>
          <w:lang w:eastAsia="tr-TR"/>
        </w:rPr>
      </w:pPr>
      <w:r>
        <w:rPr>
          <w:rFonts w:ascii="Times New Roman" w:hAnsi="Times New Roman"/>
          <w:lang w:eastAsia="tr-TR"/>
        </w:rPr>
        <w:t xml:space="preserve">ECHR, </w:t>
      </w:r>
      <w:proofErr w:type="spellStart"/>
      <w:r w:rsidRPr="00D93276">
        <w:rPr>
          <w:rFonts w:ascii="Times New Roman" w:hAnsi="Times New Roman"/>
          <w:i/>
          <w:iCs/>
          <w:lang w:eastAsia="tr-TR"/>
        </w:rPr>
        <w:t>Trijonis</w:t>
      </w:r>
      <w:proofErr w:type="spellEnd"/>
      <w:r w:rsidRPr="00D93276">
        <w:rPr>
          <w:rFonts w:ascii="Times New Roman" w:hAnsi="Times New Roman"/>
          <w:i/>
          <w:iCs/>
          <w:lang w:eastAsia="tr-TR"/>
        </w:rPr>
        <w:t xml:space="preserve"> v. </w:t>
      </w:r>
      <w:proofErr w:type="spellStart"/>
      <w:r w:rsidRPr="00D93276">
        <w:rPr>
          <w:rFonts w:ascii="Times New Roman" w:hAnsi="Times New Roman"/>
          <w:i/>
          <w:iCs/>
          <w:lang w:eastAsia="tr-TR"/>
        </w:rPr>
        <w:t>Lithuania</w:t>
      </w:r>
      <w:proofErr w:type="spellEnd"/>
      <w:r w:rsidRPr="00103448">
        <w:rPr>
          <w:rFonts w:ascii="Times New Roman" w:hAnsi="Times New Roman"/>
          <w:lang w:eastAsia="tr-TR"/>
        </w:rPr>
        <w:t>, 15.12.2005, No. 2333/02.</w:t>
      </w:r>
    </w:p>
    <w:p w14:paraId="0C6FFFE1" w14:textId="77777777" w:rsidR="00D93276" w:rsidRPr="00103448" w:rsidRDefault="00D93276" w:rsidP="00503EB4">
      <w:pPr>
        <w:jc w:val="both"/>
        <w:rPr>
          <w:rFonts w:ascii="Times New Roman" w:hAnsi="Times New Roman"/>
          <w:lang w:eastAsia="tr-TR"/>
        </w:rPr>
      </w:pPr>
      <w:proofErr w:type="spellStart"/>
      <w:r>
        <w:rPr>
          <w:rFonts w:ascii="Times New Roman" w:hAnsi="Times New Roman"/>
          <w:lang w:eastAsia="tr-TR"/>
        </w:rPr>
        <w:lastRenderedPageBreak/>
        <w:t>E</w:t>
      </w:r>
      <w:r w:rsidRPr="00103448">
        <w:rPr>
          <w:rFonts w:ascii="Times New Roman" w:hAnsi="Times New Roman"/>
          <w:lang w:eastAsia="tr-TR"/>
        </w:rPr>
        <w:t>uropean</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Commission</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For</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Democracy</w:t>
      </w:r>
      <w:proofErr w:type="spellEnd"/>
      <w:r w:rsidRPr="00103448">
        <w:rPr>
          <w:rFonts w:ascii="Times New Roman" w:hAnsi="Times New Roman"/>
          <w:lang w:eastAsia="tr-TR"/>
        </w:rPr>
        <w:t xml:space="preserve"> Through </w:t>
      </w:r>
      <w:proofErr w:type="spellStart"/>
      <w:r w:rsidRPr="00103448">
        <w:rPr>
          <w:rFonts w:ascii="Times New Roman" w:hAnsi="Times New Roman"/>
          <w:lang w:eastAsia="tr-TR"/>
        </w:rPr>
        <w:t>Law</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Venice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Commission</w:t>
      </w:r>
      <w:proofErr w:type="spellEnd"/>
      <w:r w:rsidRPr="00103448">
        <w:rPr>
          <w:rFonts w:ascii="Times New Roman" w:hAnsi="Times New Roman"/>
          <w:lang w:eastAsia="tr-TR"/>
        </w:rPr>
        <w:t>), “</w:t>
      </w:r>
      <w:proofErr w:type="spellStart"/>
      <w:r w:rsidRPr="00103448">
        <w:rPr>
          <w:rFonts w:ascii="Times New Roman" w:hAnsi="Times New Roman"/>
          <w:lang w:eastAsia="tr-TR"/>
        </w:rPr>
        <w:t>Turkey</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Opinion</w:t>
      </w:r>
      <w:proofErr w:type="spellEnd"/>
      <w:r w:rsidRPr="00103448">
        <w:rPr>
          <w:rFonts w:ascii="Times New Roman" w:hAnsi="Times New Roman"/>
          <w:lang w:eastAsia="tr-TR"/>
        </w:rPr>
        <w:t xml:space="preserve"> On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Legal Framework </w:t>
      </w:r>
      <w:proofErr w:type="spellStart"/>
      <w:r w:rsidRPr="00103448">
        <w:rPr>
          <w:rFonts w:ascii="Times New Roman" w:hAnsi="Times New Roman"/>
          <w:lang w:eastAsia="tr-TR"/>
        </w:rPr>
        <w:t>Governing</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Curfews</w:t>
      </w:r>
      <w:proofErr w:type="spellEnd"/>
      <w:r w:rsidRPr="00103448">
        <w:rPr>
          <w:rFonts w:ascii="Times New Roman" w:hAnsi="Times New Roman"/>
          <w:lang w:eastAsia="tr-TR"/>
        </w:rPr>
        <w:t xml:space="preserve">”, 107th </w:t>
      </w:r>
      <w:proofErr w:type="spellStart"/>
      <w:r w:rsidRPr="00103448">
        <w:rPr>
          <w:rFonts w:ascii="Times New Roman" w:hAnsi="Times New Roman"/>
          <w:lang w:eastAsia="tr-TR"/>
        </w:rPr>
        <w:t>Plenary</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Session</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Venice</w:t>
      </w:r>
      <w:proofErr w:type="spellEnd"/>
      <w:r w:rsidRPr="00103448">
        <w:rPr>
          <w:rFonts w:ascii="Times New Roman" w:hAnsi="Times New Roman"/>
          <w:lang w:eastAsia="tr-TR"/>
        </w:rPr>
        <w:t xml:space="preserve">, 10-11 </w:t>
      </w:r>
      <w:proofErr w:type="spellStart"/>
      <w:r w:rsidRPr="00103448">
        <w:rPr>
          <w:rFonts w:ascii="Times New Roman" w:hAnsi="Times New Roman"/>
          <w:lang w:eastAsia="tr-TR"/>
        </w:rPr>
        <w:t>June</w:t>
      </w:r>
      <w:proofErr w:type="spellEnd"/>
      <w:r w:rsidRPr="00103448">
        <w:rPr>
          <w:rFonts w:ascii="Times New Roman" w:hAnsi="Times New Roman"/>
          <w:lang w:eastAsia="tr-TR"/>
        </w:rPr>
        <w:t xml:space="preserve"> 2016, https://www. venice.coe.int/</w:t>
      </w:r>
      <w:proofErr w:type="spellStart"/>
      <w:r w:rsidRPr="00103448">
        <w:rPr>
          <w:rFonts w:ascii="Times New Roman" w:hAnsi="Times New Roman"/>
          <w:lang w:eastAsia="tr-TR"/>
        </w:rPr>
        <w:t>webforms</w:t>
      </w:r>
      <w:proofErr w:type="spellEnd"/>
      <w:r w:rsidRPr="00103448">
        <w:rPr>
          <w:rFonts w:ascii="Times New Roman" w:hAnsi="Times New Roman"/>
          <w:lang w:eastAsia="tr-TR"/>
        </w:rPr>
        <w:t>/</w:t>
      </w:r>
      <w:proofErr w:type="spellStart"/>
      <w:r w:rsidRPr="00103448">
        <w:rPr>
          <w:rFonts w:ascii="Times New Roman" w:hAnsi="Times New Roman"/>
          <w:lang w:eastAsia="tr-TR"/>
        </w:rPr>
        <w:t>documents</w:t>
      </w:r>
      <w:proofErr w:type="spellEnd"/>
      <w:r w:rsidRPr="00103448">
        <w:rPr>
          <w:rFonts w:ascii="Times New Roman" w:hAnsi="Times New Roman"/>
          <w:lang w:eastAsia="tr-TR"/>
        </w:rPr>
        <w:t>/</w:t>
      </w:r>
      <w:proofErr w:type="spellStart"/>
      <w:r w:rsidRPr="00103448">
        <w:rPr>
          <w:rFonts w:ascii="Times New Roman" w:hAnsi="Times New Roman"/>
          <w:lang w:eastAsia="tr-TR"/>
        </w:rPr>
        <w:t>default.aspx?pdffile</w:t>
      </w:r>
      <w:proofErr w:type="spellEnd"/>
      <w:r w:rsidRPr="00103448">
        <w:rPr>
          <w:rFonts w:ascii="Times New Roman" w:hAnsi="Times New Roman"/>
          <w:lang w:eastAsia="tr-TR"/>
        </w:rPr>
        <w:t>=CDL-AD (2016)010-e, e.t. 14.10.2021</w:t>
      </w:r>
      <w:r>
        <w:rPr>
          <w:rFonts w:ascii="Times New Roman" w:hAnsi="Times New Roman"/>
          <w:lang w:eastAsia="tr-TR"/>
        </w:rPr>
        <w:t>.</w:t>
      </w:r>
    </w:p>
    <w:p w14:paraId="3FB81901" w14:textId="77777777" w:rsidR="00D93276" w:rsidRDefault="00D93276" w:rsidP="00503EB4">
      <w:pPr>
        <w:jc w:val="both"/>
        <w:rPr>
          <w:rFonts w:ascii="Times New Roman" w:hAnsi="Times New Roman"/>
          <w:lang w:eastAsia="tr-TR"/>
        </w:rPr>
      </w:pPr>
      <w:proofErr w:type="spellStart"/>
      <w:r w:rsidRPr="00103448">
        <w:rPr>
          <w:rFonts w:ascii="Times New Roman" w:hAnsi="Times New Roman"/>
          <w:lang w:eastAsia="tr-TR"/>
        </w:rPr>
        <w:t>European</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Union</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Agency</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for</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Fundamental</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Rights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Coronavirus</w:t>
      </w:r>
      <w:proofErr w:type="spellEnd"/>
      <w:r w:rsidRPr="00103448">
        <w:rPr>
          <w:rFonts w:ascii="Times New Roman" w:hAnsi="Times New Roman"/>
          <w:lang w:eastAsia="tr-TR"/>
        </w:rPr>
        <w:t xml:space="preserve"> (COVID-19) </w:t>
      </w:r>
      <w:proofErr w:type="spellStart"/>
      <w:r w:rsidRPr="00103448">
        <w:rPr>
          <w:rFonts w:ascii="Times New Roman" w:hAnsi="Times New Roman"/>
          <w:lang w:eastAsia="tr-TR"/>
        </w:rPr>
        <w:t>Outbreak</w:t>
      </w:r>
      <w:proofErr w:type="spellEnd"/>
      <w:r w:rsidRPr="00103448">
        <w:rPr>
          <w:rFonts w:ascii="Times New Roman" w:hAnsi="Times New Roman"/>
          <w:lang w:eastAsia="tr-TR"/>
        </w:rPr>
        <w:t xml:space="preserve"> in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EU </w:t>
      </w:r>
      <w:proofErr w:type="spellStart"/>
      <w:r w:rsidRPr="00103448">
        <w:rPr>
          <w:rFonts w:ascii="Times New Roman" w:hAnsi="Times New Roman"/>
          <w:lang w:eastAsia="tr-TR"/>
        </w:rPr>
        <w:t>Fundamental</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Rights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Implications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Hungary</w:t>
      </w:r>
      <w:proofErr w:type="spellEnd"/>
      <w:r w:rsidRPr="00103448">
        <w:rPr>
          <w:rFonts w:ascii="Times New Roman" w:hAnsi="Times New Roman"/>
          <w:lang w:eastAsia="tr-TR"/>
        </w:rPr>
        <w:t>, 03.03.2020</w:t>
      </w:r>
      <w:r>
        <w:rPr>
          <w:rFonts w:ascii="Times New Roman" w:hAnsi="Times New Roman"/>
          <w:lang w:eastAsia="tr-TR"/>
        </w:rPr>
        <w:t>.</w:t>
      </w:r>
    </w:p>
    <w:p w14:paraId="14A41308" w14:textId="77777777" w:rsidR="00D93276" w:rsidRDefault="00D93276" w:rsidP="00503EB4">
      <w:pPr>
        <w:jc w:val="both"/>
        <w:rPr>
          <w:rFonts w:ascii="Times New Roman" w:hAnsi="Times New Roman"/>
          <w:lang w:eastAsia="tr-TR"/>
        </w:rPr>
      </w:pPr>
      <w:r>
        <w:rPr>
          <w:rFonts w:ascii="Times New Roman" w:hAnsi="Times New Roman"/>
          <w:lang w:eastAsia="tr-TR"/>
        </w:rPr>
        <w:t>h</w:t>
      </w:r>
      <w:r w:rsidRPr="00103448">
        <w:rPr>
          <w:rFonts w:ascii="Times New Roman" w:hAnsi="Times New Roman"/>
          <w:lang w:eastAsia="tr-TR"/>
        </w:rPr>
        <w:t xml:space="preserve">ttp://www.ejustice.just.fgov.be/eli/ </w:t>
      </w:r>
      <w:proofErr w:type="spellStart"/>
      <w:r w:rsidRPr="00103448">
        <w:rPr>
          <w:rFonts w:ascii="Times New Roman" w:hAnsi="Times New Roman"/>
          <w:lang w:eastAsia="tr-TR"/>
        </w:rPr>
        <w:t>wet</w:t>
      </w:r>
      <w:proofErr w:type="spellEnd"/>
      <w:r w:rsidRPr="00103448">
        <w:rPr>
          <w:rFonts w:ascii="Times New Roman" w:hAnsi="Times New Roman"/>
          <w:lang w:eastAsia="tr-TR"/>
        </w:rPr>
        <w:t>/2020/03/27/2020040937/</w:t>
      </w:r>
      <w:proofErr w:type="spellStart"/>
      <w:r w:rsidRPr="00103448">
        <w:rPr>
          <w:rFonts w:ascii="Times New Roman" w:hAnsi="Times New Roman"/>
          <w:lang w:eastAsia="tr-TR"/>
        </w:rPr>
        <w:t>justel</w:t>
      </w:r>
      <w:proofErr w:type="spellEnd"/>
    </w:p>
    <w:p w14:paraId="757AE14F" w14:textId="77777777" w:rsidR="00D93276" w:rsidRPr="00103448" w:rsidRDefault="00D93276" w:rsidP="00503EB4">
      <w:pPr>
        <w:jc w:val="both"/>
        <w:rPr>
          <w:rFonts w:ascii="Times New Roman" w:hAnsi="Times New Roman"/>
          <w:lang w:eastAsia="tr-TR"/>
        </w:rPr>
      </w:pPr>
      <w:r w:rsidRPr="00103448">
        <w:rPr>
          <w:rFonts w:ascii="Times New Roman" w:hAnsi="Times New Roman"/>
          <w:lang w:eastAsia="tr-TR"/>
        </w:rPr>
        <w:t>http://www.ejustice.just.fgov.be/eli/wet/2020/03/27/2020040938/justel (II).</w:t>
      </w:r>
    </w:p>
    <w:p w14:paraId="062297E0" w14:textId="77777777" w:rsidR="00D93276" w:rsidRDefault="00D93276" w:rsidP="00503EB4">
      <w:pPr>
        <w:jc w:val="both"/>
        <w:rPr>
          <w:rFonts w:ascii="Times New Roman" w:hAnsi="Times New Roman"/>
          <w:lang w:eastAsia="tr-TR"/>
        </w:rPr>
      </w:pPr>
      <w:r w:rsidRPr="00103448">
        <w:rPr>
          <w:rFonts w:ascii="Times New Roman" w:hAnsi="Times New Roman"/>
          <w:lang w:eastAsia="tr-TR"/>
        </w:rPr>
        <w:t>http://www.iconnectblog.com/2020/04/how-covid-19-unveils-the-true-autocrats-viktor-orbans-ermachtigungsgesetz/, e.t. 11.10.2021</w:t>
      </w:r>
      <w:r>
        <w:rPr>
          <w:rFonts w:ascii="Times New Roman" w:hAnsi="Times New Roman"/>
          <w:lang w:eastAsia="tr-TR"/>
        </w:rPr>
        <w:t>.</w:t>
      </w:r>
    </w:p>
    <w:p w14:paraId="78292FBC" w14:textId="77777777" w:rsidR="00D93276" w:rsidRPr="00103448" w:rsidRDefault="00D93276" w:rsidP="00503EB4">
      <w:pPr>
        <w:jc w:val="both"/>
        <w:rPr>
          <w:rFonts w:ascii="Times New Roman" w:hAnsi="Times New Roman"/>
          <w:lang w:eastAsia="tr-TR"/>
        </w:rPr>
      </w:pPr>
      <w:r w:rsidRPr="00103448">
        <w:rPr>
          <w:rFonts w:ascii="Times New Roman" w:hAnsi="Times New Roman"/>
          <w:lang w:eastAsia="tr-TR"/>
        </w:rPr>
        <w:t>https://hunconcourt.hu/uploads/sites/3/2021/01/thefundamentallawofhungary_20201223_fin.pdf,e.t. 14.10.2021.</w:t>
      </w:r>
    </w:p>
    <w:p w14:paraId="5F192473" w14:textId="77777777" w:rsidR="00D93276" w:rsidRDefault="00D93276" w:rsidP="00503EB4">
      <w:pPr>
        <w:jc w:val="both"/>
        <w:rPr>
          <w:rFonts w:ascii="Times New Roman" w:hAnsi="Times New Roman"/>
          <w:lang w:eastAsia="tr-TR"/>
        </w:rPr>
      </w:pPr>
      <w:r w:rsidRPr="00103448">
        <w:rPr>
          <w:rFonts w:ascii="Times New Roman" w:hAnsi="Times New Roman"/>
          <w:lang w:eastAsia="tr-TR"/>
        </w:rPr>
        <w:t>https://tr.euronews.com/2021/06/15/macaristan-da-escinselligin-tesvik-edilmesini-yasaklayan-yasa-teklifi-kabul-edildi, e.t. 14.10.2021</w:t>
      </w:r>
      <w:r>
        <w:rPr>
          <w:rFonts w:ascii="Times New Roman" w:hAnsi="Times New Roman"/>
          <w:lang w:eastAsia="tr-TR"/>
        </w:rPr>
        <w:t>.</w:t>
      </w:r>
    </w:p>
    <w:p w14:paraId="62983202" w14:textId="77777777" w:rsidR="00D93276" w:rsidRPr="00103448" w:rsidRDefault="00D93276" w:rsidP="00503EB4">
      <w:pPr>
        <w:jc w:val="both"/>
        <w:rPr>
          <w:rFonts w:ascii="Times New Roman" w:hAnsi="Times New Roman"/>
          <w:lang w:eastAsia="tr-TR"/>
        </w:rPr>
      </w:pPr>
      <w:r w:rsidRPr="00103448">
        <w:rPr>
          <w:rFonts w:ascii="Times New Roman" w:hAnsi="Times New Roman"/>
          <w:lang w:eastAsia="tr-TR"/>
        </w:rPr>
        <w:t>https://www.amnesty.org.tr/icerik/dunyada-korona-mucadelesi-pandemi-hak-ihlallerine-gerekce-olamaz, e.t. 14.10.2021.</w:t>
      </w:r>
    </w:p>
    <w:p w14:paraId="03C35597" w14:textId="77777777" w:rsidR="00D93276" w:rsidRPr="00103448" w:rsidRDefault="00D93276" w:rsidP="00503EB4">
      <w:pPr>
        <w:jc w:val="both"/>
        <w:rPr>
          <w:rFonts w:ascii="Times New Roman" w:hAnsi="Times New Roman"/>
          <w:lang w:eastAsia="tr-TR"/>
        </w:rPr>
      </w:pPr>
      <w:r>
        <w:rPr>
          <w:rFonts w:ascii="Times New Roman" w:hAnsi="Times New Roman"/>
          <w:lang w:eastAsia="tr-TR"/>
        </w:rPr>
        <w:t>h</w:t>
      </w:r>
      <w:r w:rsidRPr="00103448">
        <w:rPr>
          <w:rFonts w:ascii="Times New Roman" w:hAnsi="Times New Roman"/>
          <w:lang w:eastAsia="tr-TR"/>
        </w:rPr>
        <w:t>ttps://www.europarl.europa.eu/news/en/agenda/briefing/2021-02-08/16/parliament-to-discuss-the-de-facto-ban-on-abortion-in-poland, e.t. 14.10.2021.</w:t>
      </w:r>
    </w:p>
    <w:p w14:paraId="77B733AE" w14:textId="77777777" w:rsidR="00D93276" w:rsidRPr="00103448" w:rsidRDefault="00D93276" w:rsidP="00503EB4">
      <w:pPr>
        <w:jc w:val="both"/>
        <w:rPr>
          <w:rFonts w:ascii="Times New Roman" w:hAnsi="Times New Roman"/>
          <w:lang w:eastAsia="tr-TR"/>
        </w:rPr>
      </w:pPr>
      <w:r w:rsidRPr="00103448">
        <w:rPr>
          <w:rFonts w:ascii="Times New Roman" w:hAnsi="Times New Roman"/>
          <w:lang w:eastAsia="tr-TR"/>
        </w:rPr>
        <w:t>https://www.reuters.com/article/us-health-coronavirus-hungary-military-idUSKBN2161C8, e.t. 14.10.2021.</w:t>
      </w:r>
    </w:p>
    <w:p w14:paraId="4A469265" w14:textId="77777777" w:rsidR="00D93276" w:rsidRDefault="00D93276" w:rsidP="00503EB4">
      <w:pPr>
        <w:jc w:val="both"/>
        <w:rPr>
          <w:rFonts w:ascii="Times New Roman" w:hAnsi="Times New Roman"/>
          <w:lang w:eastAsia="tr-TR"/>
        </w:rPr>
      </w:pPr>
      <w:r w:rsidRPr="00103448">
        <w:rPr>
          <w:rFonts w:ascii="Times New Roman" w:hAnsi="Times New Roman"/>
          <w:lang w:eastAsia="tr-TR"/>
        </w:rPr>
        <w:t>https://www.theguardian.com/world/2020/nov/03/poland-stalls-abortion-ban-amid-nationwide-protests, e.t. 14.10.2021.</w:t>
      </w:r>
      <w:r>
        <w:rPr>
          <w:rFonts w:ascii="Times New Roman" w:hAnsi="Times New Roman"/>
          <w:lang w:eastAsia="tr-TR"/>
        </w:rPr>
        <w:t xml:space="preserve"> </w:t>
      </w:r>
    </w:p>
    <w:p w14:paraId="106B1405" w14:textId="77777777" w:rsidR="00D93276" w:rsidRDefault="00D93276" w:rsidP="00503EB4">
      <w:pPr>
        <w:jc w:val="both"/>
        <w:rPr>
          <w:rFonts w:ascii="Times New Roman" w:hAnsi="Times New Roman"/>
        </w:rPr>
      </w:pPr>
      <w:r w:rsidRPr="00335DC4">
        <w:rPr>
          <w:rFonts w:ascii="Times New Roman" w:hAnsi="Times New Roman"/>
        </w:rPr>
        <w:t xml:space="preserve">IV/00699/2020 </w:t>
      </w:r>
      <w:proofErr w:type="spellStart"/>
      <w:r>
        <w:rPr>
          <w:rFonts w:ascii="Times New Roman" w:hAnsi="Times New Roman"/>
        </w:rPr>
        <w:t>Hungary</w:t>
      </w:r>
      <w:proofErr w:type="spellEnd"/>
      <w:r>
        <w:rPr>
          <w:rFonts w:ascii="Times New Roman" w:hAnsi="Times New Roman"/>
        </w:rPr>
        <w:t xml:space="preserve"> </w:t>
      </w:r>
      <w:proofErr w:type="spellStart"/>
      <w:r w:rsidRPr="00335DC4">
        <w:rPr>
          <w:rFonts w:ascii="Times New Roman" w:hAnsi="Times New Roman"/>
        </w:rPr>
        <w:t>C</w:t>
      </w:r>
      <w:r>
        <w:rPr>
          <w:rFonts w:ascii="Times New Roman" w:hAnsi="Times New Roman"/>
        </w:rPr>
        <w:t>onstitutional</w:t>
      </w:r>
      <w:proofErr w:type="spellEnd"/>
      <w:r>
        <w:rPr>
          <w:rFonts w:ascii="Times New Roman" w:hAnsi="Times New Roman"/>
        </w:rPr>
        <w:t xml:space="preserve"> Court</w:t>
      </w:r>
      <w:r w:rsidRPr="00335DC4">
        <w:rPr>
          <w:rFonts w:ascii="Times New Roman" w:hAnsi="Times New Roman"/>
        </w:rPr>
        <w:t xml:space="preserve"> </w:t>
      </w:r>
      <w:proofErr w:type="spellStart"/>
      <w:r w:rsidRPr="00335DC4">
        <w:rPr>
          <w:rFonts w:ascii="Times New Roman" w:hAnsi="Times New Roman"/>
        </w:rPr>
        <w:t>Decision</w:t>
      </w:r>
      <w:proofErr w:type="spellEnd"/>
      <w:r>
        <w:rPr>
          <w:rFonts w:ascii="Times New Roman" w:hAnsi="Times New Roman"/>
        </w:rPr>
        <w:t>, 15.04.2020</w:t>
      </w:r>
      <w:r w:rsidRPr="00335DC4">
        <w:rPr>
          <w:rFonts w:ascii="Times New Roman" w:hAnsi="Times New Roman"/>
        </w:rPr>
        <w:t xml:space="preserve">.  </w:t>
      </w:r>
    </w:p>
    <w:p w14:paraId="76EBC9CC" w14:textId="77777777" w:rsidR="00D93276" w:rsidRDefault="00D93276" w:rsidP="00503EB4">
      <w:pPr>
        <w:jc w:val="both"/>
        <w:rPr>
          <w:rFonts w:ascii="Times New Roman" w:hAnsi="Times New Roman"/>
          <w:lang w:eastAsia="tr-TR"/>
        </w:rPr>
      </w:pPr>
      <w:proofErr w:type="spellStart"/>
      <w:r w:rsidRPr="00103448">
        <w:rPr>
          <w:rFonts w:ascii="Times New Roman" w:hAnsi="Times New Roman"/>
          <w:lang w:eastAsia="tr-TR"/>
        </w:rPr>
        <w:t>Marija</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Pejčinović</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Burić</w:t>
      </w:r>
      <w:proofErr w:type="spellEnd"/>
      <w:r w:rsidRPr="00103448">
        <w:rPr>
          <w:rFonts w:ascii="Times New Roman" w:hAnsi="Times New Roman"/>
          <w:lang w:eastAsia="tr-TR"/>
        </w:rPr>
        <w:t>, 24.03.2020, https://rm.coe.int/orban-pm-hungary-24-03-2020/16809d5f04, e.t. 14.10.2021.</w:t>
      </w:r>
    </w:p>
    <w:p w14:paraId="4EA989F9" w14:textId="77777777" w:rsidR="00D93276" w:rsidRPr="00103448" w:rsidRDefault="00D93276" w:rsidP="00503EB4">
      <w:pPr>
        <w:jc w:val="both"/>
        <w:rPr>
          <w:rFonts w:ascii="Times New Roman" w:hAnsi="Times New Roman"/>
          <w:lang w:eastAsia="tr-TR"/>
        </w:rPr>
      </w:pPr>
      <w:proofErr w:type="spellStart"/>
      <w:r w:rsidRPr="00103448">
        <w:rPr>
          <w:rFonts w:ascii="Times New Roman" w:hAnsi="Times New Roman"/>
          <w:lang w:eastAsia="tr-TR"/>
        </w:rPr>
        <w:t>Proclamation</w:t>
      </w:r>
      <w:proofErr w:type="spellEnd"/>
      <w:r w:rsidRPr="00103448">
        <w:rPr>
          <w:rFonts w:ascii="Times New Roman" w:hAnsi="Times New Roman"/>
          <w:lang w:eastAsia="tr-TR"/>
        </w:rPr>
        <w:t xml:space="preserve"> 9994 of </w:t>
      </w:r>
      <w:proofErr w:type="spellStart"/>
      <w:r w:rsidRPr="00103448">
        <w:rPr>
          <w:rFonts w:ascii="Times New Roman" w:hAnsi="Times New Roman"/>
          <w:lang w:eastAsia="tr-TR"/>
        </w:rPr>
        <w:t>March</w:t>
      </w:r>
      <w:proofErr w:type="spellEnd"/>
      <w:r w:rsidRPr="00103448">
        <w:rPr>
          <w:rFonts w:ascii="Times New Roman" w:hAnsi="Times New Roman"/>
          <w:lang w:eastAsia="tr-TR"/>
        </w:rPr>
        <w:t xml:space="preserve"> 13, 2020, </w:t>
      </w:r>
      <w:proofErr w:type="spellStart"/>
      <w:r w:rsidRPr="00D93276">
        <w:rPr>
          <w:rFonts w:ascii="Times New Roman" w:hAnsi="Times New Roman"/>
          <w:i/>
          <w:iCs/>
          <w:lang w:eastAsia="tr-TR"/>
        </w:rPr>
        <w:t>Declaring</w:t>
      </w:r>
      <w:proofErr w:type="spellEnd"/>
      <w:r w:rsidRPr="00D93276">
        <w:rPr>
          <w:rFonts w:ascii="Times New Roman" w:hAnsi="Times New Roman"/>
          <w:i/>
          <w:iCs/>
          <w:lang w:eastAsia="tr-TR"/>
        </w:rPr>
        <w:t xml:space="preserve"> a </w:t>
      </w:r>
      <w:proofErr w:type="spellStart"/>
      <w:r w:rsidRPr="00D93276">
        <w:rPr>
          <w:rFonts w:ascii="Times New Roman" w:hAnsi="Times New Roman"/>
          <w:i/>
          <w:iCs/>
          <w:lang w:eastAsia="tr-TR"/>
        </w:rPr>
        <w:t>National</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Emergency</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Concerning</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the</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Novel</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Coronavirus</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Disease</w:t>
      </w:r>
      <w:proofErr w:type="spellEnd"/>
      <w:r w:rsidRPr="00D93276">
        <w:rPr>
          <w:rFonts w:ascii="Times New Roman" w:hAnsi="Times New Roman"/>
          <w:i/>
          <w:iCs/>
          <w:lang w:eastAsia="tr-TR"/>
        </w:rPr>
        <w:t xml:space="preserve"> (COVID–19) </w:t>
      </w:r>
      <w:proofErr w:type="spellStart"/>
      <w:r w:rsidRPr="00D93276">
        <w:rPr>
          <w:rFonts w:ascii="Times New Roman" w:hAnsi="Times New Roman"/>
          <w:i/>
          <w:iCs/>
          <w:lang w:eastAsia="tr-TR"/>
        </w:rPr>
        <w:t>Outbreak</w:t>
      </w:r>
      <w:proofErr w:type="spellEnd"/>
      <w:r w:rsidRPr="00103448">
        <w:rPr>
          <w:rFonts w:ascii="Times New Roman" w:hAnsi="Times New Roman"/>
          <w:lang w:eastAsia="tr-TR"/>
        </w:rPr>
        <w:t>, https://www.govinfo.gov/content/pkg/FR-2020-03-18/pdf/2020-05794.pdf, e.t. 13.10.2020.</w:t>
      </w:r>
    </w:p>
    <w:p w14:paraId="591F00D4" w14:textId="77777777" w:rsidR="00D93276" w:rsidRPr="00103448" w:rsidRDefault="00D93276" w:rsidP="00503EB4">
      <w:pPr>
        <w:jc w:val="both"/>
        <w:rPr>
          <w:rFonts w:ascii="Times New Roman" w:hAnsi="Times New Roman"/>
          <w:lang w:eastAsia="tr-TR"/>
        </w:rPr>
      </w:pPr>
      <w:r>
        <w:rPr>
          <w:rFonts w:ascii="Times New Roman" w:hAnsi="Times New Roman"/>
          <w:lang w:eastAsia="tr-TR"/>
        </w:rPr>
        <w:t>R</w:t>
      </w:r>
      <w:r w:rsidRPr="00103448">
        <w:rPr>
          <w:rFonts w:ascii="Times New Roman" w:hAnsi="Times New Roman"/>
          <w:lang w:eastAsia="tr-TR"/>
        </w:rPr>
        <w:t>G. 10.7.2018, S. 30474.</w:t>
      </w:r>
    </w:p>
    <w:p w14:paraId="156FAA06" w14:textId="77777777" w:rsidR="00D93276" w:rsidRPr="00103448" w:rsidRDefault="00D93276" w:rsidP="00503EB4">
      <w:pPr>
        <w:jc w:val="both"/>
        <w:rPr>
          <w:rFonts w:ascii="Times New Roman" w:hAnsi="Times New Roman"/>
          <w:lang w:eastAsia="tr-TR"/>
        </w:rPr>
      </w:pPr>
      <w:r w:rsidRPr="00103448">
        <w:rPr>
          <w:rFonts w:ascii="Times New Roman" w:hAnsi="Times New Roman"/>
          <w:lang w:eastAsia="tr-TR"/>
        </w:rPr>
        <w:t>RG. 17.11.2020, S. 31307.</w:t>
      </w:r>
    </w:p>
    <w:p w14:paraId="77DA55F5" w14:textId="77777777" w:rsidR="00D93276" w:rsidRDefault="00D93276" w:rsidP="00503EB4">
      <w:pPr>
        <w:jc w:val="both"/>
        <w:rPr>
          <w:rFonts w:ascii="Times New Roman" w:hAnsi="Times New Roman"/>
          <w:lang w:eastAsia="tr-TR"/>
        </w:rPr>
      </w:pP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Economist </w:t>
      </w:r>
      <w:proofErr w:type="spellStart"/>
      <w:r w:rsidRPr="00103448">
        <w:rPr>
          <w:rFonts w:ascii="Times New Roman" w:hAnsi="Times New Roman"/>
          <w:lang w:eastAsia="tr-TR"/>
        </w:rPr>
        <w:t>Intelligence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Unit</w:t>
      </w:r>
      <w:proofErr w:type="spellEnd"/>
      <w:r w:rsidRPr="00103448">
        <w:rPr>
          <w:rFonts w:ascii="Times New Roman" w:hAnsi="Times New Roman"/>
          <w:lang w:eastAsia="tr-TR"/>
        </w:rPr>
        <w:t>,</w:t>
      </w:r>
      <w:r>
        <w:rPr>
          <w:rFonts w:ascii="Times New Roman" w:hAnsi="Times New Roman"/>
          <w:lang w:eastAsia="tr-TR"/>
        </w:rPr>
        <w:t xml:space="preserve"> </w:t>
      </w:r>
      <w:proofErr w:type="spellStart"/>
      <w:r w:rsidRPr="00D93276">
        <w:rPr>
          <w:rFonts w:ascii="Times New Roman" w:hAnsi="Times New Roman"/>
          <w:i/>
          <w:iCs/>
          <w:lang w:eastAsia="tr-TR"/>
        </w:rPr>
        <w:t>Democracy</w:t>
      </w:r>
      <w:proofErr w:type="spellEnd"/>
      <w:r w:rsidRPr="00D93276">
        <w:rPr>
          <w:rFonts w:ascii="Times New Roman" w:hAnsi="Times New Roman"/>
          <w:i/>
          <w:iCs/>
          <w:lang w:eastAsia="tr-TR"/>
        </w:rPr>
        <w:t xml:space="preserve"> Index 2020: </w:t>
      </w:r>
      <w:proofErr w:type="spellStart"/>
      <w:r w:rsidRPr="00D93276">
        <w:rPr>
          <w:rFonts w:ascii="Times New Roman" w:hAnsi="Times New Roman"/>
          <w:i/>
          <w:iCs/>
          <w:lang w:eastAsia="tr-TR"/>
        </w:rPr>
        <w:t>In</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Sickness</w:t>
      </w:r>
      <w:proofErr w:type="spellEnd"/>
      <w:r w:rsidRPr="00D93276">
        <w:rPr>
          <w:rFonts w:ascii="Times New Roman" w:hAnsi="Times New Roman"/>
          <w:i/>
          <w:iCs/>
          <w:lang w:eastAsia="tr-TR"/>
        </w:rPr>
        <w:t xml:space="preserve"> </w:t>
      </w:r>
      <w:proofErr w:type="spellStart"/>
      <w:r w:rsidRPr="00D93276">
        <w:rPr>
          <w:rFonts w:ascii="Times New Roman" w:hAnsi="Times New Roman"/>
          <w:i/>
          <w:iCs/>
          <w:lang w:eastAsia="tr-TR"/>
        </w:rPr>
        <w:t>and</w:t>
      </w:r>
      <w:proofErr w:type="spellEnd"/>
      <w:r w:rsidRPr="00D93276">
        <w:rPr>
          <w:rFonts w:ascii="Times New Roman" w:hAnsi="Times New Roman"/>
          <w:i/>
          <w:iCs/>
          <w:lang w:eastAsia="tr-TR"/>
        </w:rPr>
        <w:t xml:space="preserve"> in </w:t>
      </w:r>
      <w:proofErr w:type="spellStart"/>
      <w:proofErr w:type="gramStart"/>
      <w:r w:rsidRPr="00D93276">
        <w:rPr>
          <w:rFonts w:ascii="Times New Roman" w:hAnsi="Times New Roman"/>
          <w:i/>
          <w:iCs/>
          <w:lang w:eastAsia="tr-TR"/>
        </w:rPr>
        <w:t>Health</w:t>
      </w:r>
      <w:proofErr w:type="spellEnd"/>
      <w:r w:rsidRPr="00D93276">
        <w:rPr>
          <w:rFonts w:ascii="Times New Roman" w:hAnsi="Times New Roman"/>
          <w:i/>
          <w:iCs/>
          <w:lang w:eastAsia="tr-TR"/>
        </w:rPr>
        <w:t>?</w:t>
      </w:r>
      <w:r w:rsidRPr="00103448">
        <w:rPr>
          <w:rFonts w:ascii="Times New Roman" w:hAnsi="Times New Roman"/>
          <w:lang w:eastAsia="tr-TR"/>
        </w:rPr>
        <w:t>,</w:t>
      </w:r>
      <w:proofErr w:type="gramEnd"/>
      <w:r w:rsidRPr="00103448">
        <w:rPr>
          <w:rFonts w:ascii="Times New Roman" w:hAnsi="Times New Roman"/>
          <w:lang w:eastAsia="tr-TR"/>
        </w:rPr>
        <w:t xml:space="preserve"> https://www.eiu.com/n/campaigns/democracy-index-2020/, e.t. 13.10.2021</w:t>
      </w:r>
      <w:r>
        <w:rPr>
          <w:rFonts w:ascii="Times New Roman" w:hAnsi="Times New Roman"/>
          <w:lang w:eastAsia="tr-TR"/>
        </w:rPr>
        <w:t>.</w:t>
      </w:r>
    </w:p>
    <w:p w14:paraId="0E209789" w14:textId="77777777" w:rsidR="00D93276" w:rsidRPr="00103448" w:rsidRDefault="00D93276" w:rsidP="00503EB4">
      <w:pPr>
        <w:jc w:val="both"/>
        <w:rPr>
          <w:rFonts w:ascii="Times New Roman" w:hAnsi="Times New Roman"/>
          <w:lang w:eastAsia="tr-TR"/>
        </w:rPr>
      </w:pP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Institute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for</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Democracy</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and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Electoral</w:t>
      </w:r>
      <w:proofErr w:type="spellEnd"/>
      <w:r w:rsidRPr="00103448">
        <w:rPr>
          <w:rFonts w:ascii="Times New Roman" w:hAnsi="Times New Roman"/>
          <w:lang w:eastAsia="tr-TR"/>
        </w:rPr>
        <w:t xml:space="preserve"> Assistance (IDEA), </w:t>
      </w:r>
      <w:proofErr w:type="spellStart"/>
      <w:r w:rsidRPr="00103448">
        <w:rPr>
          <w:rFonts w:ascii="Times New Roman" w:hAnsi="Times New Roman"/>
          <w:lang w:eastAsia="tr-TR"/>
        </w:rPr>
        <w:t>Taking</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Stock</w:t>
      </w:r>
      <w:proofErr w:type="spellEnd"/>
      <w:r w:rsidRPr="00103448">
        <w:rPr>
          <w:rFonts w:ascii="Times New Roman" w:hAnsi="Times New Roman"/>
          <w:lang w:eastAsia="tr-TR"/>
        </w:rPr>
        <w:t xml:space="preserve"> of Global </w:t>
      </w:r>
      <w:proofErr w:type="spellStart"/>
      <w:r w:rsidRPr="00103448">
        <w:rPr>
          <w:rFonts w:ascii="Times New Roman" w:hAnsi="Times New Roman"/>
          <w:lang w:eastAsia="tr-TR"/>
        </w:rPr>
        <w:t>Democratic</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Trends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Before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and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During</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COVID-19 </w:t>
      </w:r>
      <w:proofErr w:type="spellStart"/>
      <w:r w:rsidRPr="00103448">
        <w:rPr>
          <w:rFonts w:ascii="Times New Roman" w:hAnsi="Times New Roman"/>
          <w:lang w:eastAsia="tr-TR"/>
        </w:rPr>
        <w:t>Pandemic</w:t>
      </w:r>
      <w:proofErr w:type="spellEnd"/>
      <w:r w:rsidRPr="00103448">
        <w:rPr>
          <w:rFonts w:ascii="Times New Roman" w:hAnsi="Times New Roman"/>
          <w:lang w:eastAsia="tr-TR"/>
        </w:rPr>
        <w:t>, https://www.idea.int/sites/default/files/publications/global-democratic-trends-before-and-during-covid-19-pandemic.pdf, e.t. 13.10.2021.</w:t>
      </w:r>
    </w:p>
    <w:p w14:paraId="13621C3E" w14:textId="77777777" w:rsidR="00D93276" w:rsidRDefault="00D93276" w:rsidP="00503EB4">
      <w:pPr>
        <w:jc w:val="both"/>
        <w:rPr>
          <w:rFonts w:ascii="Times New Roman" w:hAnsi="Times New Roman"/>
          <w:lang w:eastAsia="tr-TR"/>
        </w:rPr>
      </w:pP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Role of </w:t>
      </w:r>
      <w:proofErr w:type="spellStart"/>
      <w:r w:rsidRPr="00103448">
        <w:rPr>
          <w:rFonts w:ascii="Times New Roman" w:hAnsi="Times New Roman"/>
          <w:lang w:eastAsia="tr-TR"/>
        </w:rPr>
        <w:t>Armed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Forces</w:t>
      </w:r>
      <w:proofErr w:type="spellEnd"/>
      <w:r w:rsidRPr="00103448">
        <w:rPr>
          <w:rFonts w:ascii="Times New Roman" w:hAnsi="Times New Roman"/>
          <w:lang w:eastAsia="tr-TR"/>
        </w:rPr>
        <w:t xml:space="preserve"> in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Fight</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Against</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Coronavirus</w:t>
      </w:r>
      <w:proofErr w:type="spellEnd"/>
      <w:r w:rsidRPr="00103448">
        <w:rPr>
          <w:rFonts w:ascii="Times New Roman" w:hAnsi="Times New Roman"/>
          <w:lang w:eastAsia="tr-TR"/>
        </w:rPr>
        <w:t>, EPRS/</w:t>
      </w:r>
      <w:proofErr w:type="spellStart"/>
      <w:r w:rsidRPr="00103448">
        <w:rPr>
          <w:rFonts w:ascii="Times New Roman" w:hAnsi="Times New Roman"/>
          <w:lang w:eastAsia="tr-TR"/>
        </w:rPr>
        <w:t>European</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Parliamentary</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Research</w:t>
      </w:r>
      <w:proofErr w:type="spellEnd"/>
      <w:r w:rsidRPr="00103448">
        <w:rPr>
          <w:rFonts w:ascii="Times New Roman" w:hAnsi="Times New Roman"/>
          <w:lang w:eastAsia="tr-TR"/>
        </w:rPr>
        <w:t xml:space="preserve"> Service, https://www.europarl.europa.eu/RegData/etudes/BRIE/2020/649401/EPRS_BRI(2020)649401_EN.pdf, e.t. 14.10.202</w:t>
      </w:r>
      <w:r>
        <w:rPr>
          <w:rFonts w:ascii="Times New Roman" w:hAnsi="Times New Roman"/>
          <w:lang w:eastAsia="tr-TR"/>
        </w:rPr>
        <w:t>1.</w:t>
      </w:r>
    </w:p>
    <w:p w14:paraId="35E23637" w14:textId="77777777" w:rsidR="00D93276" w:rsidRPr="00103448" w:rsidRDefault="00D93276" w:rsidP="00503EB4">
      <w:pPr>
        <w:jc w:val="both"/>
        <w:rPr>
          <w:rFonts w:ascii="Times New Roman" w:hAnsi="Times New Roman"/>
          <w:lang w:eastAsia="tr-TR"/>
        </w:rPr>
      </w:pPr>
      <w:proofErr w:type="spellStart"/>
      <w:r w:rsidRPr="00103448">
        <w:rPr>
          <w:rFonts w:ascii="Times New Roman" w:hAnsi="Times New Roman"/>
          <w:lang w:eastAsia="tr-TR"/>
        </w:rPr>
        <w:lastRenderedPageBreak/>
        <w:t>Venice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Commission</w:t>
      </w:r>
      <w:proofErr w:type="spellEnd"/>
      <w:r w:rsidRPr="00103448">
        <w:rPr>
          <w:rFonts w:ascii="Times New Roman" w:hAnsi="Times New Roman"/>
          <w:lang w:eastAsia="tr-TR"/>
        </w:rPr>
        <w:t>, “</w:t>
      </w:r>
      <w:r w:rsidRPr="00D93276">
        <w:rPr>
          <w:rFonts w:ascii="Times New Roman" w:hAnsi="Times New Roman"/>
          <w:lang w:eastAsia="tr-TR"/>
        </w:rPr>
        <w:t xml:space="preserve">On </w:t>
      </w:r>
      <w:proofErr w:type="spellStart"/>
      <w:r w:rsidRPr="00D93276">
        <w:rPr>
          <w:rFonts w:ascii="Times New Roman" w:hAnsi="Times New Roman"/>
          <w:lang w:eastAsia="tr-TR"/>
        </w:rPr>
        <w:t>Pace</w:t>
      </w:r>
      <w:proofErr w:type="spellEnd"/>
      <w:r w:rsidRPr="00D93276">
        <w:rPr>
          <w:rFonts w:ascii="Times New Roman" w:hAnsi="Times New Roman"/>
          <w:lang w:eastAsia="tr-TR"/>
        </w:rPr>
        <w:t xml:space="preserve"> </w:t>
      </w:r>
      <w:proofErr w:type="spellStart"/>
      <w:r w:rsidRPr="00D93276">
        <w:rPr>
          <w:rFonts w:ascii="Times New Roman" w:hAnsi="Times New Roman"/>
          <w:lang w:eastAsia="tr-TR"/>
        </w:rPr>
        <w:t>Recommendat</w:t>
      </w:r>
      <w:r>
        <w:rPr>
          <w:rFonts w:ascii="Times New Roman" w:hAnsi="Times New Roman"/>
          <w:lang w:eastAsia="tr-TR"/>
        </w:rPr>
        <w:t>i</w:t>
      </w:r>
      <w:r w:rsidRPr="00D93276">
        <w:rPr>
          <w:rFonts w:ascii="Times New Roman" w:hAnsi="Times New Roman"/>
          <w:lang w:eastAsia="tr-TR"/>
        </w:rPr>
        <w:t>on</w:t>
      </w:r>
      <w:proofErr w:type="spellEnd"/>
      <w:r w:rsidRPr="00D93276">
        <w:rPr>
          <w:rFonts w:ascii="Times New Roman" w:hAnsi="Times New Roman"/>
          <w:lang w:eastAsia="tr-TR"/>
        </w:rPr>
        <w:t xml:space="preserve"> 1713(2005)</w:t>
      </w:r>
      <w:r>
        <w:rPr>
          <w:rFonts w:ascii="Times New Roman" w:hAnsi="Times New Roman"/>
          <w:lang w:eastAsia="tr-TR"/>
        </w:rPr>
        <w:t xml:space="preserve"> on</w:t>
      </w:r>
      <w:r w:rsidRPr="00D93276">
        <w:rPr>
          <w:rFonts w:ascii="Times New Roman" w:hAnsi="Times New Roman"/>
          <w:lang w:eastAsia="tr-TR"/>
        </w:rPr>
        <w:t xml:space="preserve"> </w:t>
      </w:r>
      <w:proofErr w:type="spellStart"/>
      <w:r w:rsidRPr="00D93276">
        <w:rPr>
          <w:rFonts w:ascii="Times New Roman" w:hAnsi="Times New Roman"/>
          <w:lang w:eastAsia="tr-TR"/>
        </w:rPr>
        <w:t>Democrat</w:t>
      </w:r>
      <w:r>
        <w:rPr>
          <w:rFonts w:ascii="Times New Roman" w:hAnsi="Times New Roman"/>
          <w:lang w:eastAsia="tr-TR"/>
        </w:rPr>
        <w:t>i</w:t>
      </w:r>
      <w:r w:rsidRPr="00D93276">
        <w:rPr>
          <w:rFonts w:ascii="Times New Roman" w:hAnsi="Times New Roman"/>
          <w:lang w:eastAsia="tr-TR"/>
        </w:rPr>
        <w:t>c</w:t>
      </w:r>
      <w:proofErr w:type="spellEnd"/>
      <w:r w:rsidRPr="00D93276">
        <w:rPr>
          <w:rFonts w:ascii="Times New Roman" w:hAnsi="Times New Roman"/>
          <w:lang w:eastAsia="tr-TR"/>
        </w:rPr>
        <w:t xml:space="preserve"> </w:t>
      </w:r>
      <w:proofErr w:type="spellStart"/>
      <w:r w:rsidRPr="00D93276">
        <w:rPr>
          <w:rFonts w:ascii="Times New Roman" w:hAnsi="Times New Roman"/>
          <w:lang w:eastAsia="tr-TR"/>
        </w:rPr>
        <w:t>Overs</w:t>
      </w:r>
      <w:r>
        <w:rPr>
          <w:rFonts w:ascii="Times New Roman" w:hAnsi="Times New Roman"/>
          <w:lang w:eastAsia="tr-TR"/>
        </w:rPr>
        <w:t>i</w:t>
      </w:r>
      <w:r w:rsidRPr="00D93276">
        <w:rPr>
          <w:rFonts w:ascii="Times New Roman" w:hAnsi="Times New Roman"/>
          <w:lang w:eastAsia="tr-TR"/>
        </w:rPr>
        <w:t>ght</w:t>
      </w:r>
      <w:proofErr w:type="spellEnd"/>
      <w:r w:rsidRPr="00D93276">
        <w:rPr>
          <w:rFonts w:ascii="Times New Roman" w:hAnsi="Times New Roman"/>
          <w:lang w:eastAsia="tr-TR"/>
        </w:rPr>
        <w:t xml:space="preserve"> </w:t>
      </w:r>
      <w:r>
        <w:rPr>
          <w:rFonts w:ascii="Times New Roman" w:hAnsi="Times New Roman"/>
          <w:lang w:eastAsia="tr-TR"/>
        </w:rPr>
        <w:t>o</w:t>
      </w:r>
      <w:r w:rsidRPr="00D93276">
        <w:rPr>
          <w:rFonts w:ascii="Times New Roman" w:hAnsi="Times New Roman"/>
          <w:lang w:eastAsia="tr-TR"/>
        </w:rPr>
        <w:t xml:space="preserve">f </w:t>
      </w:r>
      <w:proofErr w:type="spellStart"/>
      <w:r>
        <w:rPr>
          <w:rFonts w:ascii="Times New Roman" w:hAnsi="Times New Roman"/>
          <w:lang w:eastAsia="tr-TR"/>
        </w:rPr>
        <w:t>t</w:t>
      </w:r>
      <w:r w:rsidRPr="00D93276">
        <w:rPr>
          <w:rFonts w:ascii="Times New Roman" w:hAnsi="Times New Roman"/>
          <w:lang w:eastAsia="tr-TR"/>
        </w:rPr>
        <w:t>he</w:t>
      </w:r>
      <w:proofErr w:type="spellEnd"/>
      <w:r w:rsidRPr="00D93276">
        <w:rPr>
          <w:rFonts w:ascii="Times New Roman" w:hAnsi="Times New Roman"/>
          <w:lang w:eastAsia="tr-TR"/>
        </w:rPr>
        <w:t xml:space="preserve"> Secur</w:t>
      </w:r>
      <w:r>
        <w:rPr>
          <w:rFonts w:ascii="Times New Roman" w:hAnsi="Times New Roman"/>
          <w:lang w:eastAsia="tr-TR"/>
        </w:rPr>
        <w:t>i</w:t>
      </w:r>
      <w:r w:rsidRPr="00D93276">
        <w:rPr>
          <w:rFonts w:ascii="Times New Roman" w:hAnsi="Times New Roman"/>
          <w:lang w:eastAsia="tr-TR"/>
        </w:rPr>
        <w:t xml:space="preserve">ty </w:t>
      </w:r>
      <w:proofErr w:type="spellStart"/>
      <w:r w:rsidRPr="00D93276">
        <w:rPr>
          <w:rFonts w:ascii="Times New Roman" w:hAnsi="Times New Roman"/>
          <w:lang w:eastAsia="tr-TR"/>
        </w:rPr>
        <w:t>Sector</w:t>
      </w:r>
      <w:proofErr w:type="spellEnd"/>
      <w:r>
        <w:rPr>
          <w:rFonts w:ascii="Times New Roman" w:hAnsi="Times New Roman"/>
          <w:lang w:eastAsia="tr-TR"/>
        </w:rPr>
        <w:t xml:space="preserve"> in </w:t>
      </w:r>
      <w:proofErr w:type="spellStart"/>
      <w:r>
        <w:rPr>
          <w:rFonts w:ascii="Times New Roman" w:hAnsi="Times New Roman"/>
          <w:lang w:eastAsia="tr-TR"/>
        </w:rPr>
        <w:t>Member</w:t>
      </w:r>
      <w:proofErr w:type="spellEnd"/>
      <w:r>
        <w:rPr>
          <w:rFonts w:ascii="Times New Roman" w:hAnsi="Times New Roman"/>
          <w:lang w:eastAsia="tr-TR"/>
        </w:rPr>
        <w:t xml:space="preserve"> </w:t>
      </w:r>
      <w:proofErr w:type="spellStart"/>
      <w:r>
        <w:rPr>
          <w:rFonts w:ascii="Times New Roman" w:hAnsi="Times New Roman"/>
          <w:lang w:eastAsia="tr-TR"/>
        </w:rPr>
        <w:t>States</w:t>
      </w:r>
      <w:proofErr w:type="spellEnd"/>
      <w:r>
        <w:rPr>
          <w:rFonts w:ascii="Times New Roman" w:hAnsi="Times New Roman"/>
          <w:lang w:eastAsia="tr-TR"/>
        </w:rPr>
        <w:t>”,</w:t>
      </w:r>
      <w:r w:rsidRPr="00103448">
        <w:rPr>
          <w:rFonts w:ascii="Times New Roman" w:hAnsi="Times New Roman"/>
          <w:lang w:eastAsia="tr-TR"/>
        </w:rPr>
        <w:t xml:space="preserve"> </w:t>
      </w:r>
      <w:r w:rsidRPr="00D93276">
        <w:rPr>
          <w:rFonts w:ascii="Times New Roman" w:hAnsi="Times New Roman"/>
          <w:lang w:eastAsia="tr-TR"/>
        </w:rPr>
        <w:t>CDL-AD</w:t>
      </w:r>
      <w:r>
        <w:rPr>
          <w:rFonts w:ascii="Times New Roman" w:hAnsi="Times New Roman"/>
          <w:lang w:eastAsia="tr-TR"/>
        </w:rPr>
        <w:t xml:space="preserve"> </w:t>
      </w:r>
      <w:r w:rsidRPr="00D93276">
        <w:rPr>
          <w:rFonts w:ascii="Times New Roman" w:hAnsi="Times New Roman"/>
          <w:lang w:eastAsia="tr-TR"/>
        </w:rPr>
        <w:t>(2005)033</w:t>
      </w:r>
      <w:r>
        <w:rPr>
          <w:rFonts w:ascii="Times New Roman" w:hAnsi="Times New Roman"/>
          <w:lang w:eastAsia="tr-TR"/>
        </w:rPr>
        <w:t xml:space="preserve">, </w:t>
      </w:r>
      <w:r w:rsidRPr="00103448">
        <w:rPr>
          <w:rFonts w:ascii="Times New Roman" w:hAnsi="Times New Roman"/>
          <w:lang w:eastAsia="tr-TR"/>
        </w:rPr>
        <w:t>27.10.2005</w:t>
      </w:r>
      <w:r>
        <w:rPr>
          <w:rFonts w:ascii="Times New Roman" w:hAnsi="Times New Roman"/>
          <w:lang w:eastAsia="tr-TR"/>
        </w:rPr>
        <w:t>.</w:t>
      </w:r>
    </w:p>
    <w:p w14:paraId="42469E98" w14:textId="77777777" w:rsidR="00D93276" w:rsidRDefault="00D93276" w:rsidP="00503EB4">
      <w:pPr>
        <w:jc w:val="both"/>
        <w:rPr>
          <w:rFonts w:ascii="Times New Roman" w:hAnsi="Times New Roman"/>
          <w:lang w:eastAsia="tr-TR"/>
        </w:rPr>
      </w:pPr>
      <w:proofErr w:type="spellStart"/>
      <w:r w:rsidRPr="00103448">
        <w:rPr>
          <w:rFonts w:ascii="Times New Roman" w:hAnsi="Times New Roman"/>
          <w:lang w:eastAsia="tr-TR"/>
        </w:rPr>
        <w:t>Venice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Commission</w:t>
      </w:r>
      <w:proofErr w:type="spellEnd"/>
      <w:r w:rsidRPr="00103448">
        <w:rPr>
          <w:rFonts w:ascii="Times New Roman" w:hAnsi="Times New Roman"/>
          <w:lang w:eastAsia="tr-TR"/>
        </w:rPr>
        <w:t xml:space="preserve">, “On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Measures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Taken</w:t>
      </w:r>
      <w:proofErr w:type="spellEnd"/>
      <w:r w:rsidRPr="00103448">
        <w:rPr>
          <w:rFonts w:ascii="Times New Roman" w:hAnsi="Times New Roman"/>
          <w:lang w:eastAsia="tr-TR"/>
        </w:rPr>
        <w:t xml:space="preserve"> in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EU </w:t>
      </w:r>
      <w:proofErr w:type="spellStart"/>
      <w:r w:rsidRPr="00103448">
        <w:rPr>
          <w:rFonts w:ascii="Times New Roman" w:hAnsi="Times New Roman"/>
          <w:lang w:eastAsia="tr-TR"/>
        </w:rPr>
        <w:t>Member</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States</w:t>
      </w:r>
      <w:proofErr w:type="spellEnd"/>
      <w:r w:rsidRPr="00103448">
        <w:rPr>
          <w:rFonts w:ascii="Times New Roman" w:hAnsi="Times New Roman"/>
          <w:lang w:eastAsia="tr-TR"/>
        </w:rPr>
        <w:t xml:space="preserve"> as a </w:t>
      </w:r>
      <w:proofErr w:type="spellStart"/>
      <w:r w:rsidRPr="00103448">
        <w:rPr>
          <w:rFonts w:ascii="Times New Roman" w:hAnsi="Times New Roman"/>
          <w:lang w:eastAsia="tr-TR"/>
        </w:rPr>
        <w:t>Result</w:t>
      </w:r>
      <w:proofErr w:type="spellEnd"/>
      <w:r w:rsidRPr="00103448">
        <w:rPr>
          <w:rFonts w:ascii="Times New Roman" w:hAnsi="Times New Roman"/>
          <w:lang w:eastAsia="tr-TR"/>
        </w:rPr>
        <w:t xml:space="preserve"> of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Covid-19 </w:t>
      </w:r>
      <w:proofErr w:type="spellStart"/>
      <w:r w:rsidRPr="00103448">
        <w:rPr>
          <w:rFonts w:ascii="Times New Roman" w:hAnsi="Times New Roman"/>
          <w:lang w:eastAsia="tr-TR"/>
        </w:rPr>
        <w:t>Crisis</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and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Their</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Impact</w:t>
      </w:r>
      <w:proofErr w:type="spellEnd"/>
      <w:r w:rsidRPr="00103448">
        <w:rPr>
          <w:rFonts w:ascii="Times New Roman" w:hAnsi="Times New Roman"/>
          <w:lang w:eastAsia="tr-TR"/>
        </w:rPr>
        <w:t xml:space="preserve"> on </w:t>
      </w:r>
      <w:proofErr w:type="spellStart"/>
      <w:r w:rsidRPr="00103448">
        <w:rPr>
          <w:rFonts w:ascii="Times New Roman" w:hAnsi="Times New Roman"/>
          <w:lang w:eastAsia="tr-TR"/>
        </w:rPr>
        <w:t>Democracy</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The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Rule</w:t>
      </w:r>
      <w:proofErr w:type="spellEnd"/>
      <w:r w:rsidRPr="00103448">
        <w:rPr>
          <w:rFonts w:ascii="Times New Roman" w:hAnsi="Times New Roman"/>
          <w:lang w:eastAsia="tr-TR"/>
        </w:rPr>
        <w:t xml:space="preserve"> of </w:t>
      </w:r>
      <w:proofErr w:type="spellStart"/>
      <w:r w:rsidRPr="00103448">
        <w:rPr>
          <w:rFonts w:ascii="Times New Roman" w:hAnsi="Times New Roman"/>
          <w:lang w:eastAsia="tr-TR"/>
        </w:rPr>
        <w:t>Law</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and</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Fundamental</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Rights</w:t>
      </w:r>
      <w:proofErr w:type="spellEnd"/>
      <w:r w:rsidRPr="00103448">
        <w:rPr>
          <w:rFonts w:ascii="Times New Roman" w:hAnsi="Times New Roman"/>
          <w:lang w:eastAsia="tr-TR"/>
        </w:rPr>
        <w:t>”, CDL-AD (2020)018, 08.10.2020</w:t>
      </w:r>
      <w:r>
        <w:rPr>
          <w:rFonts w:ascii="Times New Roman" w:hAnsi="Times New Roman"/>
          <w:lang w:eastAsia="tr-TR"/>
        </w:rPr>
        <w:t>.</w:t>
      </w:r>
    </w:p>
    <w:p w14:paraId="2A3EF30E" w14:textId="77777777" w:rsidR="00D93276" w:rsidRDefault="00D93276" w:rsidP="00503EB4">
      <w:pPr>
        <w:jc w:val="both"/>
        <w:rPr>
          <w:rFonts w:ascii="Times New Roman" w:hAnsi="Times New Roman"/>
          <w:lang w:eastAsia="tr-TR"/>
        </w:rPr>
      </w:pPr>
      <w:proofErr w:type="spellStart"/>
      <w:r w:rsidRPr="00103448">
        <w:rPr>
          <w:rFonts w:ascii="Times New Roman" w:hAnsi="Times New Roman"/>
          <w:lang w:eastAsia="tr-TR"/>
        </w:rPr>
        <w:t>Venice</w:t>
      </w:r>
      <w:proofErr w:type="spellEnd"/>
      <w:r w:rsidRPr="00103448">
        <w:rPr>
          <w:rFonts w:ascii="Times New Roman" w:hAnsi="Times New Roman"/>
          <w:lang w:eastAsia="tr-TR"/>
        </w:rPr>
        <w:t xml:space="preserve"> </w:t>
      </w:r>
      <w:proofErr w:type="spellStart"/>
      <w:r w:rsidRPr="00103448">
        <w:rPr>
          <w:rFonts w:ascii="Times New Roman" w:hAnsi="Times New Roman"/>
          <w:lang w:eastAsia="tr-TR"/>
        </w:rPr>
        <w:t>Commission</w:t>
      </w:r>
      <w:proofErr w:type="spellEnd"/>
      <w:r w:rsidRPr="00103448">
        <w:rPr>
          <w:rFonts w:ascii="Times New Roman" w:hAnsi="Times New Roman"/>
          <w:lang w:eastAsia="tr-TR"/>
        </w:rPr>
        <w:t>, “</w:t>
      </w:r>
      <w:proofErr w:type="spellStart"/>
      <w:r w:rsidRPr="00D93276">
        <w:rPr>
          <w:rFonts w:ascii="Times New Roman" w:hAnsi="Times New Roman"/>
          <w:lang w:eastAsia="tr-TR"/>
        </w:rPr>
        <w:t>R</w:t>
      </w:r>
      <w:r>
        <w:rPr>
          <w:rFonts w:ascii="Times New Roman" w:hAnsi="Times New Roman"/>
          <w:lang w:eastAsia="tr-TR"/>
        </w:rPr>
        <w:t>ule</w:t>
      </w:r>
      <w:proofErr w:type="spellEnd"/>
      <w:r>
        <w:rPr>
          <w:rFonts w:ascii="Times New Roman" w:hAnsi="Times New Roman"/>
          <w:lang w:eastAsia="tr-TR"/>
        </w:rPr>
        <w:t xml:space="preserve"> of </w:t>
      </w:r>
      <w:proofErr w:type="spellStart"/>
      <w:r>
        <w:rPr>
          <w:rFonts w:ascii="Times New Roman" w:hAnsi="Times New Roman"/>
          <w:lang w:eastAsia="tr-TR"/>
        </w:rPr>
        <w:t>Law</w:t>
      </w:r>
      <w:proofErr w:type="spellEnd"/>
      <w:r>
        <w:rPr>
          <w:rFonts w:ascii="Times New Roman" w:hAnsi="Times New Roman"/>
          <w:lang w:eastAsia="tr-TR"/>
        </w:rPr>
        <w:t xml:space="preserve"> </w:t>
      </w:r>
      <w:proofErr w:type="spellStart"/>
      <w:r w:rsidRPr="00D93276">
        <w:rPr>
          <w:rFonts w:ascii="Times New Roman" w:hAnsi="Times New Roman"/>
          <w:lang w:eastAsia="tr-TR"/>
        </w:rPr>
        <w:t>Checkl</w:t>
      </w:r>
      <w:r>
        <w:rPr>
          <w:rFonts w:ascii="Times New Roman" w:hAnsi="Times New Roman"/>
          <w:lang w:eastAsia="tr-TR"/>
        </w:rPr>
        <w:t>i</w:t>
      </w:r>
      <w:r w:rsidRPr="00D93276">
        <w:rPr>
          <w:rFonts w:ascii="Times New Roman" w:hAnsi="Times New Roman"/>
          <w:lang w:eastAsia="tr-TR"/>
        </w:rPr>
        <w:t>st</w:t>
      </w:r>
      <w:proofErr w:type="spellEnd"/>
      <w:r w:rsidRPr="00103448">
        <w:rPr>
          <w:rFonts w:ascii="Times New Roman" w:hAnsi="Times New Roman"/>
          <w:lang w:eastAsia="tr-TR"/>
        </w:rPr>
        <w:t>”, CDL-AD (2016)007, 18.03.2016</w:t>
      </w:r>
      <w:r>
        <w:rPr>
          <w:rFonts w:ascii="Times New Roman" w:hAnsi="Times New Roman"/>
          <w:lang w:eastAsia="tr-TR"/>
        </w:rPr>
        <w:t>.</w:t>
      </w:r>
    </w:p>
    <w:p w14:paraId="67EDC798" w14:textId="77777777" w:rsidR="007A253E" w:rsidRPr="00103448" w:rsidRDefault="007A253E" w:rsidP="00503EB4">
      <w:pPr>
        <w:jc w:val="both"/>
        <w:rPr>
          <w:rFonts w:ascii="Times New Roman" w:hAnsi="Times New Roman"/>
          <w:lang w:eastAsia="tr-TR"/>
        </w:rPr>
      </w:pPr>
    </w:p>
    <w:sectPr w:rsidR="007A253E" w:rsidRPr="00103448" w:rsidSect="00623E00">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738C9" w14:textId="77777777" w:rsidR="00A471BA" w:rsidRDefault="00A471BA" w:rsidP="0044614C">
      <w:pPr>
        <w:spacing w:after="0" w:line="240" w:lineRule="auto"/>
      </w:pPr>
      <w:r>
        <w:separator/>
      </w:r>
    </w:p>
  </w:endnote>
  <w:endnote w:type="continuationSeparator" w:id="0">
    <w:p w14:paraId="03F5E509" w14:textId="77777777" w:rsidR="00A471BA" w:rsidRDefault="00A471BA" w:rsidP="00446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no Pro">
    <w:altName w:val="Times New Roman"/>
    <w:panose1 w:val="00000000000000000000"/>
    <w:charset w:val="00"/>
    <w:family w:val="roman"/>
    <w:notTrueType/>
    <w:pitch w:val="default"/>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584109"/>
      <w:docPartObj>
        <w:docPartGallery w:val="Page Numbers (Bottom of Page)"/>
        <w:docPartUnique/>
      </w:docPartObj>
    </w:sdtPr>
    <w:sdtEndPr/>
    <w:sdtContent>
      <w:p w14:paraId="11C866D9" w14:textId="35482D31" w:rsidR="00336E79" w:rsidRDefault="00336E79">
        <w:pPr>
          <w:pStyle w:val="Footer"/>
          <w:jc w:val="right"/>
        </w:pPr>
        <w:r>
          <w:fldChar w:fldCharType="begin"/>
        </w:r>
        <w:r>
          <w:instrText>PAGE   \* MERGEFORMAT</w:instrText>
        </w:r>
        <w:r>
          <w:fldChar w:fldCharType="separate"/>
        </w:r>
        <w:r>
          <w:t>2</w:t>
        </w:r>
        <w:r>
          <w:fldChar w:fldCharType="end"/>
        </w:r>
      </w:p>
    </w:sdtContent>
  </w:sdt>
  <w:p w14:paraId="5E8C613D" w14:textId="77777777" w:rsidR="00336E79" w:rsidRDefault="0033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E8F42" w14:textId="77777777" w:rsidR="00A471BA" w:rsidRDefault="00A471BA" w:rsidP="0044614C">
      <w:pPr>
        <w:spacing w:after="0" w:line="240" w:lineRule="auto"/>
      </w:pPr>
      <w:r>
        <w:separator/>
      </w:r>
    </w:p>
  </w:footnote>
  <w:footnote w:type="continuationSeparator" w:id="0">
    <w:p w14:paraId="1C77A191" w14:textId="77777777" w:rsidR="00A471BA" w:rsidRDefault="00A471BA" w:rsidP="0044614C">
      <w:pPr>
        <w:spacing w:after="0" w:line="240" w:lineRule="auto"/>
      </w:pPr>
      <w:r>
        <w:continuationSeparator/>
      </w:r>
    </w:p>
  </w:footnote>
  <w:footnote w:id="1">
    <w:p w14:paraId="3864B709" w14:textId="77777777" w:rsidR="00336E79" w:rsidRPr="003A1B10" w:rsidRDefault="00336E79" w:rsidP="005D0D65">
      <w:pPr>
        <w:pStyle w:val="FootnoteText"/>
        <w:ind w:left="0" w:right="0"/>
        <w:contextualSpacing/>
        <w:jc w:val="both"/>
        <w:rPr>
          <w:rFonts w:ascii="Times New Roman" w:hAnsi="Times New Roman"/>
        </w:rPr>
      </w:pPr>
      <w:r>
        <w:rPr>
          <w:rStyle w:val="FootnoteReference"/>
        </w:rPr>
        <w:t>*</w:t>
      </w:r>
      <w:r>
        <w:t xml:space="preserve"> </w:t>
      </w:r>
      <w:r w:rsidRPr="003A1B10">
        <w:rPr>
          <w:rFonts w:ascii="Times New Roman" w:hAnsi="Times New Roman"/>
        </w:rPr>
        <w:t>Dr., Ankara Üniversitesi Hukuk Fakültesi Anayasa Hukuku Anabilim Dalı Öğretim Elemanı.</w:t>
      </w:r>
    </w:p>
    <w:p w14:paraId="0ACEAEC9" w14:textId="77777777" w:rsidR="00336E79" w:rsidRPr="003A1B10" w:rsidRDefault="00336E79" w:rsidP="005D0D65">
      <w:pPr>
        <w:pStyle w:val="FootnoteText"/>
        <w:ind w:left="0" w:right="0"/>
        <w:contextualSpacing/>
        <w:jc w:val="both"/>
        <w:rPr>
          <w:rFonts w:ascii="Times New Roman" w:hAnsi="Times New Roman"/>
        </w:rPr>
      </w:pPr>
      <w:r w:rsidRPr="003A1B10">
        <w:rPr>
          <w:rFonts w:ascii="Times New Roman" w:hAnsi="Times New Roman"/>
        </w:rPr>
        <w:t xml:space="preserve">E-posta: </w:t>
      </w:r>
      <w:hyperlink r:id="rId1" w:history="1">
        <w:r w:rsidRPr="003A1B10">
          <w:rPr>
            <w:rStyle w:val="Hyperlink"/>
            <w:rFonts w:ascii="Times New Roman" w:hAnsi="Times New Roman"/>
            <w:color w:val="auto"/>
            <w:u w:val="none"/>
          </w:rPr>
          <w:t>deniz06286@gmail.com</w:t>
        </w:r>
      </w:hyperlink>
    </w:p>
    <w:p w14:paraId="404C2348" w14:textId="361418AE" w:rsidR="00336E79" w:rsidRDefault="00336E79" w:rsidP="005D0D65">
      <w:pPr>
        <w:pStyle w:val="FootnoteText"/>
        <w:ind w:left="0" w:right="0"/>
        <w:jc w:val="both"/>
      </w:pPr>
      <w:r w:rsidRPr="003A1B10">
        <w:rPr>
          <w:rFonts w:ascii="Times New Roman" w:hAnsi="Times New Roman"/>
        </w:rPr>
        <w:t>Tel. 05315965584</w:t>
      </w:r>
    </w:p>
  </w:footnote>
  <w:footnote w:id="2">
    <w:p w14:paraId="2FFA84FA" w14:textId="5C482591" w:rsidR="00336E79" w:rsidRPr="003A1B10" w:rsidRDefault="00336E79" w:rsidP="003A1B10">
      <w:pPr>
        <w:pStyle w:val="FootnoteText"/>
        <w:tabs>
          <w:tab w:val="left" w:pos="0"/>
        </w:tabs>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Joseph </w:t>
      </w:r>
      <w:proofErr w:type="spellStart"/>
      <w:r w:rsidRPr="003A1B10">
        <w:rPr>
          <w:rFonts w:ascii="Times New Roman" w:hAnsi="Times New Roman"/>
        </w:rPr>
        <w:t>Raz</w:t>
      </w:r>
      <w:proofErr w:type="spellEnd"/>
      <w:r w:rsidRPr="003A1B10">
        <w:rPr>
          <w:rFonts w:ascii="Times New Roman" w:hAnsi="Times New Roman"/>
        </w:rPr>
        <w:t>,</w:t>
      </w:r>
      <w:r w:rsidRPr="003A1B10">
        <w:rPr>
          <w:rFonts w:ascii="Times New Roman" w:hAnsi="Times New Roman"/>
          <w:i/>
          <w:iCs/>
        </w:rPr>
        <w:t xml:space="preserve"> “</w:t>
      </w:r>
      <w:proofErr w:type="spellStart"/>
      <w:r w:rsidRPr="003A1B10">
        <w:rPr>
          <w:rFonts w:ascii="Times New Roman" w:hAnsi="Times New Roman"/>
        </w:rPr>
        <w:t>The</w:t>
      </w:r>
      <w:proofErr w:type="spellEnd"/>
      <w:r w:rsidRPr="003A1B10">
        <w:rPr>
          <w:rFonts w:ascii="Times New Roman" w:hAnsi="Times New Roman"/>
        </w:rPr>
        <w:t xml:space="preserve"> </w:t>
      </w:r>
      <w:proofErr w:type="spellStart"/>
      <w:r w:rsidRPr="003A1B10">
        <w:rPr>
          <w:rFonts w:ascii="Times New Roman" w:hAnsi="Times New Roman"/>
        </w:rPr>
        <w:t>Rule</w:t>
      </w:r>
      <w:proofErr w:type="spellEnd"/>
      <w:r w:rsidRPr="003A1B10">
        <w:rPr>
          <w:rFonts w:ascii="Times New Roman" w:hAnsi="Times New Roman"/>
        </w:rPr>
        <w:t xml:space="preserve"> of </w:t>
      </w:r>
      <w:proofErr w:type="spellStart"/>
      <w:r w:rsidRPr="003A1B10">
        <w:rPr>
          <w:rFonts w:ascii="Times New Roman" w:hAnsi="Times New Roman"/>
        </w:rPr>
        <w:t>Law</w:t>
      </w:r>
      <w:proofErr w:type="spellEnd"/>
      <w:r w:rsidRPr="003A1B10">
        <w:rPr>
          <w:rFonts w:ascii="Times New Roman" w:hAnsi="Times New Roman"/>
        </w:rPr>
        <w:t xml:space="preserve"> </w:t>
      </w:r>
      <w:proofErr w:type="spellStart"/>
      <w:r w:rsidRPr="003A1B10">
        <w:rPr>
          <w:rFonts w:ascii="Times New Roman" w:hAnsi="Times New Roman"/>
        </w:rPr>
        <w:t>and</w:t>
      </w:r>
      <w:proofErr w:type="spellEnd"/>
      <w:r w:rsidRPr="003A1B10">
        <w:rPr>
          <w:rFonts w:ascii="Times New Roman" w:hAnsi="Times New Roman"/>
        </w:rPr>
        <w:t xml:space="preserve"> </w:t>
      </w:r>
      <w:proofErr w:type="spellStart"/>
      <w:r w:rsidRPr="003A1B10">
        <w:rPr>
          <w:rFonts w:ascii="Times New Roman" w:hAnsi="Times New Roman"/>
        </w:rPr>
        <w:t>Its</w:t>
      </w:r>
      <w:proofErr w:type="spellEnd"/>
      <w:r w:rsidRPr="003A1B10">
        <w:rPr>
          <w:rFonts w:ascii="Times New Roman" w:hAnsi="Times New Roman"/>
        </w:rPr>
        <w:t xml:space="preserve"> </w:t>
      </w:r>
      <w:proofErr w:type="spellStart"/>
      <w:r w:rsidRPr="003A1B10">
        <w:rPr>
          <w:rFonts w:ascii="Times New Roman" w:hAnsi="Times New Roman"/>
        </w:rPr>
        <w:t>Virtue</w:t>
      </w:r>
      <w:proofErr w:type="spellEnd"/>
      <w:r w:rsidRPr="003A1B10">
        <w:rPr>
          <w:rFonts w:ascii="Times New Roman" w:hAnsi="Times New Roman"/>
        </w:rPr>
        <w:t xml:space="preserve">”, </w:t>
      </w:r>
      <w:proofErr w:type="spellStart"/>
      <w:r w:rsidRPr="003A1B10">
        <w:rPr>
          <w:rFonts w:ascii="Times New Roman" w:hAnsi="Times New Roman"/>
          <w:i/>
        </w:rPr>
        <w:t>The</w:t>
      </w:r>
      <w:proofErr w:type="spellEnd"/>
      <w:r w:rsidRPr="003A1B10">
        <w:rPr>
          <w:rFonts w:ascii="Times New Roman" w:hAnsi="Times New Roman"/>
          <w:i/>
        </w:rPr>
        <w:t xml:space="preserve"> </w:t>
      </w:r>
      <w:proofErr w:type="spellStart"/>
      <w:r w:rsidRPr="003A1B10">
        <w:rPr>
          <w:rFonts w:ascii="Times New Roman" w:hAnsi="Times New Roman"/>
          <w:i/>
        </w:rPr>
        <w:t>Authority</w:t>
      </w:r>
      <w:proofErr w:type="spellEnd"/>
      <w:r w:rsidRPr="003A1B10">
        <w:rPr>
          <w:rFonts w:ascii="Times New Roman" w:hAnsi="Times New Roman"/>
          <w:i/>
        </w:rPr>
        <w:t xml:space="preserve"> of </w:t>
      </w:r>
      <w:proofErr w:type="spellStart"/>
      <w:r w:rsidRPr="003A1B10">
        <w:rPr>
          <w:rFonts w:ascii="Times New Roman" w:hAnsi="Times New Roman"/>
          <w:i/>
        </w:rPr>
        <w:t>Law</w:t>
      </w:r>
      <w:proofErr w:type="spellEnd"/>
      <w:r w:rsidRPr="003A1B10">
        <w:rPr>
          <w:rFonts w:ascii="Times New Roman" w:hAnsi="Times New Roman"/>
          <w:i/>
        </w:rPr>
        <w:t xml:space="preserve">: </w:t>
      </w:r>
      <w:proofErr w:type="spellStart"/>
      <w:r w:rsidRPr="003A1B10">
        <w:rPr>
          <w:rFonts w:ascii="Times New Roman" w:hAnsi="Times New Roman"/>
          <w:i/>
        </w:rPr>
        <w:t>Essays</w:t>
      </w:r>
      <w:proofErr w:type="spellEnd"/>
      <w:r w:rsidRPr="003A1B10">
        <w:rPr>
          <w:rFonts w:ascii="Times New Roman" w:hAnsi="Times New Roman"/>
          <w:i/>
        </w:rPr>
        <w:t xml:space="preserve"> on </w:t>
      </w:r>
      <w:proofErr w:type="spellStart"/>
      <w:r w:rsidRPr="003A1B10">
        <w:rPr>
          <w:rFonts w:ascii="Times New Roman" w:hAnsi="Times New Roman"/>
          <w:i/>
        </w:rPr>
        <w:t>Law</w:t>
      </w:r>
      <w:proofErr w:type="spellEnd"/>
      <w:r w:rsidRPr="003A1B10">
        <w:rPr>
          <w:rFonts w:ascii="Times New Roman" w:hAnsi="Times New Roman"/>
          <w:i/>
        </w:rPr>
        <w:t xml:space="preserve"> </w:t>
      </w:r>
      <w:proofErr w:type="spellStart"/>
      <w:r w:rsidRPr="003A1B10">
        <w:rPr>
          <w:rFonts w:ascii="Times New Roman" w:hAnsi="Times New Roman"/>
          <w:i/>
        </w:rPr>
        <w:t>and</w:t>
      </w:r>
      <w:proofErr w:type="spellEnd"/>
      <w:r w:rsidRPr="003A1B10">
        <w:rPr>
          <w:rFonts w:ascii="Times New Roman" w:hAnsi="Times New Roman"/>
          <w:i/>
        </w:rPr>
        <w:t xml:space="preserve"> </w:t>
      </w:r>
      <w:proofErr w:type="spellStart"/>
      <w:r w:rsidRPr="003A1B10">
        <w:rPr>
          <w:rFonts w:ascii="Times New Roman" w:hAnsi="Times New Roman"/>
          <w:i/>
        </w:rPr>
        <w:t>Morality</w:t>
      </w:r>
      <w:proofErr w:type="spellEnd"/>
      <w:r w:rsidRPr="003A1B10">
        <w:rPr>
          <w:rFonts w:ascii="Times New Roman" w:hAnsi="Times New Roman"/>
        </w:rPr>
        <w:t xml:space="preserve">, </w:t>
      </w:r>
      <w:proofErr w:type="spellStart"/>
      <w:r w:rsidRPr="003A1B10">
        <w:rPr>
          <w:rFonts w:ascii="Times New Roman" w:hAnsi="Times New Roman"/>
        </w:rPr>
        <w:t>Clarendon</w:t>
      </w:r>
      <w:proofErr w:type="spellEnd"/>
      <w:r w:rsidRPr="003A1B10">
        <w:rPr>
          <w:rFonts w:ascii="Times New Roman" w:hAnsi="Times New Roman"/>
        </w:rPr>
        <w:t xml:space="preserve"> </w:t>
      </w:r>
      <w:proofErr w:type="spellStart"/>
      <w:r w:rsidRPr="003A1B10">
        <w:rPr>
          <w:rFonts w:ascii="Times New Roman" w:hAnsi="Times New Roman"/>
        </w:rPr>
        <w:t>Press</w:t>
      </w:r>
      <w:proofErr w:type="spellEnd"/>
      <w:r w:rsidRPr="003A1B10">
        <w:rPr>
          <w:rFonts w:ascii="Times New Roman" w:hAnsi="Times New Roman"/>
        </w:rPr>
        <w:t>, 1979, s. 211, 228.</w:t>
      </w:r>
    </w:p>
    <w:p w14:paraId="724E890D" w14:textId="38CC43FC" w:rsidR="00336E79" w:rsidRPr="003A1B10" w:rsidRDefault="00336E79" w:rsidP="003A1B10">
      <w:pPr>
        <w:pStyle w:val="FootnoteText"/>
        <w:ind w:left="0" w:right="0"/>
        <w:contextualSpacing/>
        <w:jc w:val="both"/>
        <w:rPr>
          <w:rFonts w:ascii="Times New Roman" w:hAnsi="Times New Roman"/>
        </w:rPr>
      </w:pPr>
    </w:p>
  </w:footnote>
  <w:footnote w:id="3">
    <w:p w14:paraId="7392D200" w14:textId="3E8555B3" w:rsidR="00336E79" w:rsidRPr="003A1B10" w:rsidRDefault="00336E79" w:rsidP="003A1B10">
      <w:pPr>
        <w:pStyle w:val="Pa6"/>
        <w:spacing w:line="240" w:lineRule="auto"/>
        <w:contextualSpacing/>
        <w:jc w:val="both"/>
        <w:rPr>
          <w:rFonts w:ascii="Times New Roman" w:hAnsi="Times New Roman" w:cs="Times New Roman"/>
          <w:sz w:val="20"/>
          <w:szCs w:val="20"/>
        </w:rPr>
      </w:pPr>
      <w:r w:rsidRPr="003A1B10">
        <w:rPr>
          <w:rStyle w:val="FootnoteReference"/>
          <w:rFonts w:ascii="Times New Roman" w:hAnsi="Times New Roman" w:cs="Times New Roman"/>
          <w:sz w:val="20"/>
          <w:szCs w:val="20"/>
        </w:rPr>
        <w:footnoteRef/>
      </w:r>
      <w:r w:rsidRPr="003A1B10">
        <w:rPr>
          <w:rFonts w:ascii="Times New Roman" w:hAnsi="Times New Roman" w:cs="Times New Roman"/>
          <w:sz w:val="20"/>
          <w:szCs w:val="20"/>
        </w:rPr>
        <w:t xml:space="preserve"> Çeşitli demokrasi sınıflandırmaları için bkz. Adam </w:t>
      </w:r>
      <w:proofErr w:type="spellStart"/>
      <w:r w:rsidRPr="003A1B10">
        <w:rPr>
          <w:rFonts w:ascii="Times New Roman" w:hAnsi="Times New Roman" w:cs="Times New Roman"/>
          <w:sz w:val="20"/>
          <w:szCs w:val="20"/>
        </w:rPr>
        <w:t>Przeworski</w:t>
      </w:r>
      <w:proofErr w:type="spellEnd"/>
      <w:r w:rsidRPr="003A1B10">
        <w:rPr>
          <w:rFonts w:ascii="Times New Roman" w:hAnsi="Times New Roman" w:cs="Times New Roman"/>
          <w:sz w:val="20"/>
          <w:szCs w:val="20"/>
        </w:rPr>
        <w:t xml:space="preserve"> &amp; Michael E. </w:t>
      </w:r>
      <w:proofErr w:type="spellStart"/>
      <w:r w:rsidRPr="003A1B10">
        <w:rPr>
          <w:rFonts w:ascii="Times New Roman" w:hAnsi="Times New Roman" w:cs="Times New Roman"/>
          <w:sz w:val="20"/>
          <w:szCs w:val="20"/>
        </w:rPr>
        <w:t>Alvarez</w:t>
      </w:r>
      <w:proofErr w:type="spellEnd"/>
      <w:r w:rsidRPr="003A1B10">
        <w:rPr>
          <w:rFonts w:ascii="Times New Roman" w:hAnsi="Times New Roman" w:cs="Times New Roman"/>
          <w:sz w:val="20"/>
          <w:szCs w:val="20"/>
        </w:rPr>
        <w:t xml:space="preserve"> &amp; </w:t>
      </w:r>
      <w:proofErr w:type="spellStart"/>
      <w:r w:rsidRPr="003A1B10">
        <w:rPr>
          <w:rFonts w:ascii="Times New Roman" w:hAnsi="Times New Roman" w:cs="Times New Roman"/>
          <w:sz w:val="20"/>
          <w:szCs w:val="20"/>
        </w:rPr>
        <w:t>José</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Antonio</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Cheibub</w:t>
      </w:r>
      <w:proofErr w:type="spellEnd"/>
      <w:r w:rsidRPr="003A1B10">
        <w:rPr>
          <w:rFonts w:ascii="Times New Roman" w:hAnsi="Times New Roman" w:cs="Times New Roman"/>
          <w:sz w:val="20"/>
          <w:szCs w:val="20"/>
        </w:rPr>
        <w:t xml:space="preserve"> &amp; </w:t>
      </w:r>
      <w:proofErr w:type="spellStart"/>
      <w:r w:rsidRPr="003A1B10">
        <w:rPr>
          <w:rFonts w:ascii="Times New Roman" w:hAnsi="Times New Roman" w:cs="Times New Roman"/>
          <w:sz w:val="20"/>
          <w:szCs w:val="20"/>
        </w:rPr>
        <w:t>Fernando</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Limongi</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Democracy</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and</w:t>
      </w:r>
      <w:proofErr w:type="spellEnd"/>
      <w:r w:rsidRPr="003A1B10">
        <w:rPr>
          <w:rFonts w:ascii="Times New Roman" w:hAnsi="Times New Roman" w:cs="Times New Roman"/>
          <w:i/>
          <w:iCs/>
          <w:sz w:val="20"/>
          <w:szCs w:val="20"/>
        </w:rPr>
        <w:t xml:space="preserve"> Development: </w:t>
      </w:r>
      <w:proofErr w:type="spellStart"/>
      <w:r w:rsidRPr="003A1B10">
        <w:rPr>
          <w:rFonts w:ascii="Times New Roman" w:hAnsi="Times New Roman" w:cs="Times New Roman"/>
          <w:i/>
          <w:iCs/>
          <w:sz w:val="20"/>
          <w:szCs w:val="20"/>
        </w:rPr>
        <w:t>Political</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Institutions</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and</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Well-Being</w:t>
      </w:r>
      <w:proofErr w:type="spellEnd"/>
      <w:r w:rsidRPr="003A1B10">
        <w:rPr>
          <w:rFonts w:ascii="Times New Roman" w:hAnsi="Times New Roman" w:cs="Times New Roman"/>
          <w:i/>
          <w:iCs/>
          <w:sz w:val="20"/>
          <w:szCs w:val="20"/>
        </w:rPr>
        <w:t xml:space="preserve"> in </w:t>
      </w:r>
      <w:proofErr w:type="spellStart"/>
      <w:r w:rsidRPr="003A1B10">
        <w:rPr>
          <w:rFonts w:ascii="Times New Roman" w:hAnsi="Times New Roman" w:cs="Times New Roman"/>
          <w:i/>
          <w:iCs/>
          <w:sz w:val="20"/>
          <w:szCs w:val="20"/>
        </w:rPr>
        <w:t>the</w:t>
      </w:r>
      <w:proofErr w:type="spellEnd"/>
      <w:r w:rsidRPr="003A1B10">
        <w:rPr>
          <w:rFonts w:ascii="Times New Roman" w:hAnsi="Times New Roman" w:cs="Times New Roman"/>
          <w:i/>
          <w:iCs/>
          <w:sz w:val="20"/>
          <w:szCs w:val="20"/>
        </w:rPr>
        <w:t xml:space="preserve"> World, 1950-1990</w:t>
      </w:r>
      <w:r w:rsidRPr="003A1B10">
        <w:rPr>
          <w:rFonts w:ascii="Times New Roman" w:hAnsi="Times New Roman" w:cs="Times New Roman"/>
          <w:sz w:val="20"/>
          <w:szCs w:val="20"/>
        </w:rPr>
        <w:t xml:space="preserve">, Cambridge </w:t>
      </w:r>
      <w:proofErr w:type="spellStart"/>
      <w:r w:rsidRPr="003A1B10">
        <w:rPr>
          <w:rFonts w:ascii="Times New Roman" w:hAnsi="Times New Roman" w:cs="Times New Roman"/>
          <w:sz w:val="20"/>
          <w:szCs w:val="20"/>
        </w:rPr>
        <w:t>University</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Press</w:t>
      </w:r>
      <w:proofErr w:type="spellEnd"/>
      <w:r w:rsidRPr="003A1B10">
        <w:rPr>
          <w:rFonts w:ascii="Times New Roman" w:hAnsi="Times New Roman" w:cs="Times New Roman"/>
          <w:sz w:val="20"/>
          <w:szCs w:val="20"/>
        </w:rPr>
        <w:t xml:space="preserve">, Cambridge, 2000, s. 18; Wolfgang Merkel, “Embedded </w:t>
      </w:r>
      <w:proofErr w:type="spellStart"/>
      <w:r w:rsidRPr="003A1B10">
        <w:rPr>
          <w:rFonts w:ascii="Times New Roman" w:hAnsi="Times New Roman" w:cs="Times New Roman"/>
          <w:sz w:val="20"/>
          <w:szCs w:val="20"/>
        </w:rPr>
        <w:t>and</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Defective</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Democracies</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Democratization</w:t>
      </w:r>
      <w:proofErr w:type="spellEnd"/>
      <w:r w:rsidRPr="003A1B10">
        <w:rPr>
          <w:rFonts w:ascii="Times New Roman" w:hAnsi="Times New Roman" w:cs="Times New Roman"/>
          <w:sz w:val="20"/>
          <w:szCs w:val="20"/>
        </w:rPr>
        <w:t xml:space="preserve"> 11/5, 2004, s. 33-55; </w:t>
      </w:r>
      <w:proofErr w:type="spellStart"/>
      <w:r w:rsidRPr="003A1B10">
        <w:rPr>
          <w:rFonts w:ascii="Times New Roman" w:hAnsi="Times New Roman" w:cs="Times New Roman"/>
          <w:sz w:val="20"/>
          <w:szCs w:val="20"/>
        </w:rPr>
        <w:t>Arend</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Lijphart</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i/>
          <w:iCs/>
          <w:sz w:val="20"/>
          <w:szCs w:val="20"/>
        </w:rPr>
        <w:t>Patterns</w:t>
      </w:r>
      <w:proofErr w:type="spellEnd"/>
      <w:r w:rsidRPr="003A1B10">
        <w:rPr>
          <w:rFonts w:ascii="Times New Roman" w:hAnsi="Times New Roman" w:cs="Times New Roman"/>
          <w:i/>
          <w:iCs/>
          <w:sz w:val="20"/>
          <w:szCs w:val="20"/>
        </w:rPr>
        <w:t xml:space="preserve"> of </w:t>
      </w:r>
      <w:proofErr w:type="spellStart"/>
      <w:r w:rsidRPr="003A1B10">
        <w:rPr>
          <w:rFonts w:ascii="Times New Roman" w:hAnsi="Times New Roman" w:cs="Times New Roman"/>
          <w:i/>
          <w:iCs/>
          <w:sz w:val="20"/>
          <w:szCs w:val="20"/>
        </w:rPr>
        <w:t>De</w:t>
      </w:r>
      <w:r w:rsidRPr="003A1B10">
        <w:rPr>
          <w:rFonts w:ascii="Times New Roman" w:hAnsi="Times New Roman" w:cs="Times New Roman"/>
          <w:i/>
          <w:iCs/>
          <w:sz w:val="20"/>
          <w:szCs w:val="20"/>
        </w:rPr>
        <w:softHyphen/>
        <w:t>mocracy</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Government</w:t>
      </w:r>
      <w:proofErr w:type="spellEnd"/>
      <w:r w:rsidRPr="003A1B10">
        <w:rPr>
          <w:rFonts w:ascii="Times New Roman" w:hAnsi="Times New Roman" w:cs="Times New Roman"/>
          <w:i/>
          <w:iCs/>
          <w:sz w:val="20"/>
          <w:szCs w:val="20"/>
        </w:rPr>
        <w:t xml:space="preserve"> Forms </w:t>
      </w:r>
      <w:proofErr w:type="spellStart"/>
      <w:r w:rsidRPr="003A1B10">
        <w:rPr>
          <w:rFonts w:ascii="Times New Roman" w:hAnsi="Times New Roman" w:cs="Times New Roman"/>
          <w:i/>
          <w:iCs/>
          <w:sz w:val="20"/>
          <w:szCs w:val="20"/>
        </w:rPr>
        <w:t>and</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Performance</w:t>
      </w:r>
      <w:proofErr w:type="spellEnd"/>
      <w:r w:rsidRPr="003A1B10">
        <w:rPr>
          <w:rFonts w:ascii="Times New Roman" w:hAnsi="Times New Roman" w:cs="Times New Roman"/>
          <w:i/>
          <w:iCs/>
          <w:sz w:val="20"/>
          <w:szCs w:val="20"/>
        </w:rPr>
        <w:t xml:space="preserve"> in </w:t>
      </w:r>
      <w:proofErr w:type="spellStart"/>
      <w:r w:rsidRPr="003A1B10">
        <w:rPr>
          <w:rFonts w:ascii="Times New Roman" w:hAnsi="Times New Roman" w:cs="Times New Roman"/>
          <w:i/>
          <w:iCs/>
          <w:sz w:val="20"/>
          <w:szCs w:val="20"/>
        </w:rPr>
        <w:t>Thirty-Six</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Countries</w:t>
      </w:r>
      <w:proofErr w:type="spellEnd"/>
      <w:r w:rsidRPr="003A1B10">
        <w:rPr>
          <w:rFonts w:ascii="Times New Roman" w:hAnsi="Times New Roman" w:cs="Times New Roman"/>
          <w:sz w:val="20"/>
          <w:szCs w:val="20"/>
        </w:rPr>
        <w:t xml:space="preserve">, Yale </w:t>
      </w:r>
      <w:proofErr w:type="spellStart"/>
      <w:r w:rsidRPr="003A1B10">
        <w:rPr>
          <w:rFonts w:ascii="Times New Roman" w:hAnsi="Times New Roman" w:cs="Times New Roman"/>
          <w:sz w:val="20"/>
          <w:szCs w:val="20"/>
        </w:rPr>
        <w:t>University</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Press</w:t>
      </w:r>
      <w:proofErr w:type="spellEnd"/>
      <w:r w:rsidRPr="003A1B10">
        <w:rPr>
          <w:rFonts w:ascii="Times New Roman" w:hAnsi="Times New Roman" w:cs="Times New Roman"/>
          <w:sz w:val="20"/>
          <w:szCs w:val="20"/>
        </w:rPr>
        <w:t xml:space="preserve">, 2. </w:t>
      </w:r>
      <w:proofErr w:type="spellStart"/>
      <w:r w:rsidRPr="003A1B10">
        <w:rPr>
          <w:rFonts w:ascii="Times New Roman" w:hAnsi="Times New Roman" w:cs="Times New Roman"/>
          <w:sz w:val="20"/>
          <w:szCs w:val="20"/>
        </w:rPr>
        <w:t>edt</w:t>
      </w:r>
      <w:proofErr w:type="spellEnd"/>
      <w:r w:rsidRPr="003A1B10">
        <w:rPr>
          <w:rFonts w:ascii="Times New Roman" w:hAnsi="Times New Roman" w:cs="Times New Roman"/>
          <w:sz w:val="20"/>
          <w:szCs w:val="20"/>
        </w:rPr>
        <w:t xml:space="preserve">., New </w:t>
      </w:r>
      <w:proofErr w:type="spellStart"/>
      <w:r w:rsidRPr="003A1B10">
        <w:rPr>
          <w:rFonts w:ascii="Times New Roman" w:hAnsi="Times New Roman" w:cs="Times New Roman"/>
          <w:sz w:val="20"/>
          <w:szCs w:val="20"/>
        </w:rPr>
        <w:t>Haven</w:t>
      </w:r>
      <w:proofErr w:type="spellEnd"/>
      <w:r w:rsidRPr="003A1B10">
        <w:rPr>
          <w:rFonts w:ascii="Times New Roman" w:hAnsi="Times New Roman" w:cs="Times New Roman"/>
          <w:sz w:val="20"/>
          <w:szCs w:val="20"/>
        </w:rPr>
        <w:t>/</w:t>
      </w:r>
      <w:proofErr w:type="spellStart"/>
      <w:r w:rsidRPr="003A1B10">
        <w:rPr>
          <w:rFonts w:ascii="Times New Roman" w:hAnsi="Times New Roman" w:cs="Times New Roman"/>
          <w:sz w:val="20"/>
          <w:szCs w:val="20"/>
        </w:rPr>
        <w:t>London</w:t>
      </w:r>
      <w:proofErr w:type="spellEnd"/>
      <w:r w:rsidRPr="003A1B10">
        <w:rPr>
          <w:rFonts w:ascii="Times New Roman" w:hAnsi="Times New Roman" w:cs="Times New Roman"/>
          <w:sz w:val="20"/>
          <w:szCs w:val="20"/>
        </w:rPr>
        <w:t xml:space="preserve">, 2012, s. 9-59. Ayrıca bkz. </w:t>
      </w:r>
      <w:proofErr w:type="spellStart"/>
      <w:r w:rsidRPr="003A1B10">
        <w:rPr>
          <w:rFonts w:ascii="Times New Roman" w:hAnsi="Times New Roman" w:cs="Times New Roman"/>
          <w:sz w:val="20"/>
          <w:szCs w:val="20"/>
        </w:rPr>
        <w:t>Juan</w:t>
      </w:r>
      <w:proofErr w:type="spellEnd"/>
      <w:r w:rsidRPr="003A1B10">
        <w:rPr>
          <w:rFonts w:ascii="Times New Roman" w:hAnsi="Times New Roman" w:cs="Times New Roman"/>
          <w:sz w:val="20"/>
          <w:szCs w:val="20"/>
        </w:rPr>
        <w:t xml:space="preserve"> J. Linz &amp; </w:t>
      </w:r>
      <w:proofErr w:type="spellStart"/>
      <w:r w:rsidRPr="003A1B10">
        <w:rPr>
          <w:rFonts w:ascii="Times New Roman" w:hAnsi="Times New Roman" w:cs="Times New Roman"/>
          <w:sz w:val="20"/>
          <w:szCs w:val="20"/>
        </w:rPr>
        <w:t>Alfred</w:t>
      </w:r>
      <w:proofErr w:type="spellEnd"/>
      <w:r w:rsidRPr="003A1B10">
        <w:rPr>
          <w:rFonts w:ascii="Times New Roman" w:hAnsi="Times New Roman" w:cs="Times New Roman"/>
          <w:sz w:val="20"/>
          <w:szCs w:val="20"/>
        </w:rPr>
        <w:t xml:space="preserve"> Step</w:t>
      </w:r>
      <w:r w:rsidRPr="003A1B10">
        <w:rPr>
          <w:rFonts w:ascii="Times New Roman" w:hAnsi="Times New Roman" w:cs="Times New Roman"/>
          <w:sz w:val="20"/>
          <w:szCs w:val="20"/>
        </w:rPr>
        <w:softHyphen/>
        <w:t xml:space="preserve">han, </w:t>
      </w:r>
      <w:proofErr w:type="spellStart"/>
      <w:r w:rsidRPr="003A1B10">
        <w:rPr>
          <w:rFonts w:ascii="Times New Roman" w:hAnsi="Times New Roman" w:cs="Times New Roman"/>
          <w:i/>
          <w:iCs/>
          <w:sz w:val="20"/>
          <w:szCs w:val="20"/>
        </w:rPr>
        <w:t>Problems</w:t>
      </w:r>
      <w:proofErr w:type="spellEnd"/>
      <w:r w:rsidRPr="003A1B10">
        <w:rPr>
          <w:rFonts w:ascii="Times New Roman" w:hAnsi="Times New Roman" w:cs="Times New Roman"/>
          <w:i/>
          <w:iCs/>
          <w:sz w:val="20"/>
          <w:szCs w:val="20"/>
        </w:rPr>
        <w:t xml:space="preserve"> of </w:t>
      </w:r>
      <w:proofErr w:type="spellStart"/>
      <w:r w:rsidRPr="003A1B10">
        <w:rPr>
          <w:rFonts w:ascii="Times New Roman" w:hAnsi="Times New Roman" w:cs="Times New Roman"/>
          <w:i/>
          <w:iCs/>
          <w:sz w:val="20"/>
          <w:szCs w:val="20"/>
        </w:rPr>
        <w:t>Democratic</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Transition</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and</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Consolidation</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Southern</w:t>
      </w:r>
      <w:proofErr w:type="spellEnd"/>
      <w:r w:rsidRPr="003A1B10">
        <w:rPr>
          <w:rFonts w:ascii="Times New Roman" w:hAnsi="Times New Roman" w:cs="Times New Roman"/>
          <w:i/>
          <w:iCs/>
          <w:sz w:val="20"/>
          <w:szCs w:val="20"/>
        </w:rPr>
        <w:t xml:space="preserve"> Europe, South </w:t>
      </w:r>
      <w:proofErr w:type="spellStart"/>
      <w:r w:rsidRPr="003A1B10">
        <w:rPr>
          <w:rFonts w:ascii="Times New Roman" w:hAnsi="Times New Roman" w:cs="Times New Roman"/>
          <w:i/>
          <w:iCs/>
          <w:sz w:val="20"/>
          <w:szCs w:val="20"/>
        </w:rPr>
        <w:t>Ameri</w:t>
      </w:r>
      <w:r w:rsidRPr="003A1B10">
        <w:rPr>
          <w:rFonts w:ascii="Times New Roman" w:hAnsi="Times New Roman" w:cs="Times New Roman"/>
          <w:i/>
          <w:iCs/>
          <w:sz w:val="20"/>
          <w:szCs w:val="20"/>
        </w:rPr>
        <w:softHyphen/>
        <w:t>ca</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and</w:t>
      </w:r>
      <w:proofErr w:type="spellEnd"/>
      <w:r w:rsidRPr="003A1B10">
        <w:rPr>
          <w:rFonts w:ascii="Times New Roman" w:hAnsi="Times New Roman" w:cs="Times New Roman"/>
          <w:i/>
          <w:iCs/>
          <w:sz w:val="20"/>
          <w:szCs w:val="20"/>
        </w:rPr>
        <w:t xml:space="preserve"> Post-</w:t>
      </w:r>
      <w:proofErr w:type="spellStart"/>
      <w:r w:rsidRPr="003A1B10">
        <w:rPr>
          <w:rFonts w:ascii="Times New Roman" w:hAnsi="Times New Roman" w:cs="Times New Roman"/>
          <w:i/>
          <w:iCs/>
          <w:sz w:val="20"/>
          <w:szCs w:val="20"/>
        </w:rPr>
        <w:t>Communist</w:t>
      </w:r>
      <w:proofErr w:type="spellEnd"/>
      <w:r w:rsidRPr="003A1B10">
        <w:rPr>
          <w:rFonts w:ascii="Times New Roman" w:hAnsi="Times New Roman" w:cs="Times New Roman"/>
          <w:i/>
          <w:iCs/>
          <w:sz w:val="20"/>
          <w:szCs w:val="20"/>
        </w:rPr>
        <w:t xml:space="preserve"> Europe</w:t>
      </w:r>
      <w:r w:rsidRPr="003A1B10">
        <w:rPr>
          <w:rFonts w:ascii="Times New Roman" w:hAnsi="Times New Roman" w:cs="Times New Roman"/>
          <w:sz w:val="20"/>
          <w:szCs w:val="20"/>
        </w:rPr>
        <w:t xml:space="preserve">, John Hopkins </w:t>
      </w:r>
      <w:proofErr w:type="spellStart"/>
      <w:r w:rsidRPr="003A1B10">
        <w:rPr>
          <w:rFonts w:ascii="Times New Roman" w:hAnsi="Times New Roman" w:cs="Times New Roman"/>
          <w:sz w:val="20"/>
          <w:szCs w:val="20"/>
        </w:rPr>
        <w:t>University</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Press</w:t>
      </w:r>
      <w:proofErr w:type="spellEnd"/>
      <w:r w:rsidRPr="003A1B10">
        <w:rPr>
          <w:rFonts w:ascii="Times New Roman" w:hAnsi="Times New Roman" w:cs="Times New Roman"/>
          <w:sz w:val="20"/>
          <w:szCs w:val="20"/>
        </w:rPr>
        <w:t xml:space="preserve">, Baltimore, 1996; </w:t>
      </w:r>
      <w:proofErr w:type="spellStart"/>
      <w:r w:rsidRPr="003A1B10">
        <w:rPr>
          <w:rFonts w:ascii="Times New Roman" w:hAnsi="Times New Roman" w:cs="Times New Roman"/>
          <w:sz w:val="20"/>
          <w:szCs w:val="20"/>
        </w:rPr>
        <w:t>Larry</w:t>
      </w:r>
      <w:proofErr w:type="spellEnd"/>
      <w:r w:rsidRPr="003A1B10">
        <w:rPr>
          <w:rFonts w:ascii="Times New Roman" w:hAnsi="Times New Roman" w:cs="Times New Roman"/>
          <w:sz w:val="20"/>
          <w:szCs w:val="20"/>
        </w:rPr>
        <w:t xml:space="preserve"> J. </w:t>
      </w:r>
      <w:proofErr w:type="spellStart"/>
      <w:r w:rsidRPr="003A1B10">
        <w:rPr>
          <w:rFonts w:ascii="Times New Roman" w:hAnsi="Times New Roman" w:cs="Times New Roman"/>
          <w:sz w:val="20"/>
          <w:szCs w:val="20"/>
        </w:rPr>
        <w:t>Diamond</w:t>
      </w:r>
      <w:proofErr w:type="spellEnd"/>
      <w:r w:rsidRPr="003A1B10">
        <w:rPr>
          <w:rFonts w:ascii="Times New Roman" w:hAnsi="Times New Roman" w:cs="Times New Roman"/>
          <w:sz w:val="20"/>
          <w:szCs w:val="20"/>
        </w:rPr>
        <w:t>, “</w:t>
      </w:r>
      <w:proofErr w:type="spellStart"/>
      <w:r w:rsidRPr="003A1B10">
        <w:rPr>
          <w:rFonts w:ascii="Times New Roman" w:hAnsi="Times New Roman" w:cs="Times New Roman"/>
          <w:sz w:val="20"/>
          <w:szCs w:val="20"/>
        </w:rPr>
        <w:t>Thinking</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About</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Hybrid</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Regimes</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i/>
          <w:iCs/>
          <w:sz w:val="20"/>
          <w:szCs w:val="20"/>
        </w:rPr>
        <w:t>Journal</w:t>
      </w:r>
      <w:proofErr w:type="spellEnd"/>
      <w:r w:rsidRPr="003A1B10">
        <w:rPr>
          <w:rFonts w:ascii="Times New Roman" w:hAnsi="Times New Roman" w:cs="Times New Roman"/>
          <w:i/>
          <w:iCs/>
          <w:sz w:val="20"/>
          <w:szCs w:val="20"/>
        </w:rPr>
        <w:t xml:space="preserve"> of </w:t>
      </w:r>
      <w:proofErr w:type="spellStart"/>
      <w:r w:rsidRPr="003A1B10">
        <w:rPr>
          <w:rFonts w:ascii="Times New Roman" w:hAnsi="Times New Roman" w:cs="Times New Roman"/>
          <w:i/>
          <w:iCs/>
          <w:sz w:val="20"/>
          <w:szCs w:val="20"/>
        </w:rPr>
        <w:t>Democracy</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Vol</w:t>
      </w:r>
      <w:proofErr w:type="spellEnd"/>
      <w:r w:rsidRPr="003A1B10">
        <w:rPr>
          <w:rFonts w:ascii="Times New Roman" w:hAnsi="Times New Roman" w:cs="Times New Roman"/>
          <w:sz w:val="20"/>
          <w:szCs w:val="20"/>
        </w:rPr>
        <w:t xml:space="preserve">. 13, No. 2, 2002, s. 21-35. Ülkelerin demokrasi düzeylerine ilişkin karşılaştırmalı çalışmalar için ayrıca bkz. </w:t>
      </w:r>
      <w:proofErr w:type="spellStart"/>
      <w:r w:rsidRPr="003A1B10">
        <w:rPr>
          <w:rFonts w:ascii="Times New Roman" w:hAnsi="Times New Roman" w:cs="Times New Roman"/>
          <w:sz w:val="20"/>
          <w:szCs w:val="20"/>
        </w:rPr>
        <w:t>The</w:t>
      </w:r>
      <w:proofErr w:type="spellEnd"/>
      <w:r w:rsidRPr="003A1B10">
        <w:rPr>
          <w:rFonts w:ascii="Times New Roman" w:hAnsi="Times New Roman" w:cs="Times New Roman"/>
          <w:sz w:val="20"/>
          <w:szCs w:val="20"/>
        </w:rPr>
        <w:t xml:space="preserve"> Economist </w:t>
      </w:r>
      <w:proofErr w:type="spellStart"/>
      <w:r w:rsidRPr="003A1B10">
        <w:rPr>
          <w:rFonts w:ascii="Times New Roman" w:hAnsi="Times New Roman" w:cs="Times New Roman"/>
          <w:sz w:val="20"/>
          <w:szCs w:val="20"/>
        </w:rPr>
        <w:t>Intelligence</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Unit</w:t>
      </w:r>
      <w:proofErr w:type="spellEnd"/>
      <w:r w:rsidRPr="003A1B10">
        <w:rPr>
          <w:rFonts w:ascii="Times New Roman" w:hAnsi="Times New Roman" w:cs="Times New Roman"/>
          <w:sz w:val="20"/>
          <w:szCs w:val="20"/>
        </w:rPr>
        <w:t xml:space="preserve">, </w:t>
      </w:r>
      <w:r w:rsidRPr="003A1B10">
        <w:rPr>
          <w:rFonts w:ascii="Times New Roman" w:hAnsi="Times New Roman" w:cs="Times New Roman"/>
          <w:sz w:val="20"/>
          <w:szCs w:val="20"/>
        </w:rPr>
        <w:softHyphen/>
        <w:t xml:space="preserve"> </w:t>
      </w:r>
      <w:proofErr w:type="spellStart"/>
      <w:r w:rsidRPr="003A1B10">
        <w:rPr>
          <w:rFonts w:ascii="Times New Roman" w:hAnsi="Times New Roman" w:cs="Times New Roman"/>
          <w:i/>
          <w:iCs/>
          <w:sz w:val="20"/>
          <w:szCs w:val="20"/>
        </w:rPr>
        <w:t>Democracy</w:t>
      </w:r>
      <w:proofErr w:type="spellEnd"/>
      <w:r w:rsidRPr="003A1B10">
        <w:rPr>
          <w:rFonts w:ascii="Times New Roman" w:hAnsi="Times New Roman" w:cs="Times New Roman"/>
          <w:i/>
          <w:iCs/>
          <w:sz w:val="20"/>
          <w:szCs w:val="20"/>
        </w:rPr>
        <w:t xml:space="preserve"> Index 2020: </w:t>
      </w:r>
      <w:proofErr w:type="spellStart"/>
      <w:r w:rsidRPr="003A1B10">
        <w:rPr>
          <w:rFonts w:ascii="Times New Roman" w:hAnsi="Times New Roman" w:cs="Times New Roman"/>
          <w:i/>
          <w:iCs/>
          <w:sz w:val="20"/>
          <w:szCs w:val="20"/>
        </w:rPr>
        <w:t>In</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sickness</w:t>
      </w:r>
      <w:proofErr w:type="spellEnd"/>
      <w:r w:rsidRPr="003A1B10">
        <w:rPr>
          <w:rFonts w:ascii="Times New Roman" w:hAnsi="Times New Roman" w:cs="Times New Roman"/>
          <w:i/>
          <w:iCs/>
          <w:sz w:val="20"/>
          <w:szCs w:val="20"/>
        </w:rPr>
        <w:t xml:space="preserve"> </w:t>
      </w:r>
      <w:proofErr w:type="spellStart"/>
      <w:r w:rsidRPr="003A1B10">
        <w:rPr>
          <w:rFonts w:ascii="Times New Roman" w:hAnsi="Times New Roman" w:cs="Times New Roman"/>
          <w:i/>
          <w:iCs/>
          <w:sz w:val="20"/>
          <w:szCs w:val="20"/>
        </w:rPr>
        <w:t>and</w:t>
      </w:r>
      <w:proofErr w:type="spellEnd"/>
      <w:r w:rsidRPr="003A1B10">
        <w:rPr>
          <w:rFonts w:ascii="Times New Roman" w:hAnsi="Times New Roman" w:cs="Times New Roman"/>
          <w:i/>
          <w:iCs/>
          <w:sz w:val="20"/>
          <w:szCs w:val="20"/>
        </w:rPr>
        <w:t xml:space="preserve"> in </w:t>
      </w:r>
      <w:proofErr w:type="spellStart"/>
      <w:r w:rsidRPr="003A1B10">
        <w:rPr>
          <w:rFonts w:ascii="Times New Roman" w:hAnsi="Times New Roman" w:cs="Times New Roman"/>
          <w:i/>
          <w:iCs/>
          <w:sz w:val="20"/>
          <w:szCs w:val="20"/>
        </w:rPr>
        <w:t>health</w:t>
      </w:r>
      <w:proofErr w:type="spellEnd"/>
      <w:r w:rsidRPr="003A1B10">
        <w:rPr>
          <w:rFonts w:ascii="Times New Roman" w:hAnsi="Times New Roman" w:cs="Times New Roman"/>
          <w:i/>
          <w:iCs/>
          <w:sz w:val="20"/>
          <w:szCs w:val="20"/>
        </w:rPr>
        <w:t>?</w:t>
      </w:r>
      <w:r w:rsidRPr="003A1B10">
        <w:rPr>
          <w:rFonts w:ascii="Times New Roman" w:hAnsi="Times New Roman" w:cs="Times New Roman"/>
          <w:sz w:val="20"/>
          <w:szCs w:val="20"/>
        </w:rPr>
        <w:t xml:space="preserve">, </w:t>
      </w:r>
      <w:hyperlink r:id="rId2" w:history="1">
        <w:r w:rsidRPr="003A1B10">
          <w:rPr>
            <w:rStyle w:val="Hyperlink"/>
            <w:rFonts w:ascii="Times New Roman" w:hAnsi="Times New Roman" w:cs="Times New Roman"/>
            <w:color w:val="auto"/>
            <w:sz w:val="20"/>
            <w:szCs w:val="20"/>
            <w:u w:val="none"/>
          </w:rPr>
          <w:t>https://www.eiu.com/n/campaigns/democracy-index-2020/</w:t>
        </w:r>
      </w:hyperlink>
      <w:r w:rsidRPr="003A1B10">
        <w:rPr>
          <w:rFonts w:ascii="Times New Roman" w:hAnsi="Times New Roman" w:cs="Times New Roman"/>
          <w:sz w:val="20"/>
          <w:szCs w:val="20"/>
        </w:rPr>
        <w:t xml:space="preserve">, e.t. 13.10.2021; </w:t>
      </w:r>
      <w:proofErr w:type="spellStart"/>
      <w:r w:rsidRPr="003A1B10">
        <w:rPr>
          <w:rFonts w:ascii="Times New Roman" w:hAnsi="Times New Roman" w:cs="Times New Roman"/>
          <w:sz w:val="20"/>
          <w:szCs w:val="20"/>
        </w:rPr>
        <w:t>The</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Institute</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for</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Democracy</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and</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Electoral</w:t>
      </w:r>
      <w:proofErr w:type="spellEnd"/>
      <w:r w:rsidRPr="003A1B10">
        <w:rPr>
          <w:rFonts w:ascii="Times New Roman" w:hAnsi="Times New Roman" w:cs="Times New Roman"/>
          <w:sz w:val="20"/>
          <w:szCs w:val="20"/>
        </w:rPr>
        <w:t xml:space="preserve"> Assistance (IDEA), </w:t>
      </w:r>
      <w:proofErr w:type="spellStart"/>
      <w:r w:rsidRPr="003A1B10">
        <w:rPr>
          <w:rFonts w:ascii="Times New Roman" w:hAnsi="Times New Roman" w:cs="Times New Roman"/>
          <w:sz w:val="20"/>
          <w:szCs w:val="20"/>
        </w:rPr>
        <w:t>Taking</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Stock</w:t>
      </w:r>
      <w:proofErr w:type="spellEnd"/>
      <w:r w:rsidRPr="003A1B10">
        <w:rPr>
          <w:rFonts w:ascii="Times New Roman" w:hAnsi="Times New Roman" w:cs="Times New Roman"/>
          <w:sz w:val="20"/>
          <w:szCs w:val="20"/>
        </w:rPr>
        <w:t xml:space="preserve"> of Global </w:t>
      </w:r>
      <w:proofErr w:type="spellStart"/>
      <w:r w:rsidRPr="003A1B10">
        <w:rPr>
          <w:rFonts w:ascii="Times New Roman" w:hAnsi="Times New Roman" w:cs="Times New Roman"/>
          <w:sz w:val="20"/>
          <w:szCs w:val="20"/>
        </w:rPr>
        <w:t>Democratic</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Trends</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Before</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and</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During</w:t>
      </w:r>
      <w:proofErr w:type="spellEnd"/>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the</w:t>
      </w:r>
      <w:proofErr w:type="spellEnd"/>
      <w:r w:rsidRPr="003A1B10">
        <w:rPr>
          <w:rFonts w:ascii="Times New Roman" w:hAnsi="Times New Roman" w:cs="Times New Roman"/>
          <w:sz w:val="20"/>
          <w:szCs w:val="20"/>
        </w:rPr>
        <w:t xml:space="preserve"> COVID-19 </w:t>
      </w:r>
      <w:proofErr w:type="spellStart"/>
      <w:r w:rsidRPr="003A1B10">
        <w:rPr>
          <w:rFonts w:ascii="Times New Roman" w:hAnsi="Times New Roman" w:cs="Times New Roman"/>
          <w:sz w:val="20"/>
          <w:szCs w:val="20"/>
        </w:rPr>
        <w:t>Pandemic</w:t>
      </w:r>
      <w:proofErr w:type="spellEnd"/>
      <w:r w:rsidRPr="003A1B10">
        <w:rPr>
          <w:rFonts w:ascii="Times New Roman" w:hAnsi="Times New Roman" w:cs="Times New Roman"/>
          <w:sz w:val="20"/>
          <w:szCs w:val="20"/>
        </w:rPr>
        <w:t xml:space="preserve">, </w:t>
      </w:r>
      <w:hyperlink r:id="rId3" w:history="1">
        <w:r w:rsidRPr="003A1B10">
          <w:rPr>
            <w:rStyle w:val="Hyperlink"/>
            <w:rFonts w:ascii="Times New Roman" w:hAnsi="Times New Roman" w:cs="Times New Roman"/>
            <w:color w:val="auto"/>
            <w:sz w:val="20"/>
            <w:szCs w:val="20"/>
            <w:u w:val="none"/>
          </w:rPr>
          <w:t>https://www.idea.int/sites/default/files/publications/global-democratic-trends-before-and-during-covid-19-pandemic.pdf</w:t>
        </w:r>
      </w:hyperlink>
      <w:r w:rsidRPr="003A1B10">
        <w:rPr>
          <w:rFonts w:ascii="Times New Roman" w:hAnsi="Times New Roman" w:cs="Times New Roman"/>
          <w:sz w:val="20"/>
          <w:szCs w:val="20"/>
        </w:rPr>
        <w:t>, e.t. 13.10.2021.</w:t>
      </w:r>
    </w:p>
  </w:footnote>
  <w:footnote w:id="4">
    <w:p w14:paraId="280DA0AF" w14:textId="63619EC6"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Bkz. </w:t>
      </w:r>
      <w:proofErr w:type="spellStart"/>
      <w:r w:rsidRPr="003A1B10">
        <w:rPr>
          <w:rFonts w:ascii="Times New Roman" w:hAnsi="Times New Roman"/>
        </w:rPr>
        <w:t>Council</w:t>
      </w:r>
      <w:proofErr w:type="spellEnd"/>
      <w:r w:rsidRPr="003A1B10">
        <w:rPr>
          <w:rFonts w:ascii="Times New Roman" w:hAnsi="Times New Roman"/>
        </w:rPr>
        <w:t xml:space="preserve"> of Europe, </w:t>
      </w:r>
      <w:proofErr w:type="spellStart"/>
      <w:r w:rsidRPr="003A1B10">
        <w:rPr>
          <w:rFonts w:ascii="Times New Roman" w:hAnsi="Times New Roman"/>
          <w:i/>
          <w:iCs/>
        </w:rPr>
        <w:t>Respecting</w:t>
      </w:r>
      <w:proofErr w:type="spellEnd"/>
      <w:r w:rsidRPr="003A1B10">
        <w:rPr>
          <w:rFonts w:ascii="Times New Roman" w:hAnsi="Times New Roman"/>
          <w:i/>
          <w:iCs/>
        </w:rPr>
        <w:t xml:space="preserve"> </w:t>
      </w:r>
      <w:proofErr w:type="spellStart"/>
      <w:r w:rsidRPr="003A1B10">
        <w:rPr>
          <w:rFonts w:ascii="Times New Roman" w:hAnsi="Times New Roman"/>
          <w:i/>
          <w:iCs/>
        </w:rPr>
        <w:t>Democracy</w:t>
      </w:r>
      <w:proofErr w:type="spellEnd"/>
      <w:r w:rsidRPr="003A1B10">
        <w:rPr>
          <w:rFonts w:ascii="Times New Roman" w:hAnsi="Times New Roman"/>
          <w:i/>
          <w:iCs/>
        </w:rPr>
        <w:t xml:space="preserve">, </w:t>
      </w:r>
      <w:proofErr w:type="spellStart"/>
      <w:r w:rsidRPr="003A1B10">
        <w:rPr>
          <w:rFonts w:ascii="Times New Roman" w:hAnsi="Times New Roman"/>
          <w:i/>
          <w:iCs/>
        </w:rPr>
        <w:t>Rule</w:t>
      </w:r>
      <w:proofErr w:type="spellEnd"/>
      <w:r w:rsidRPr="003A1B10">
        <w:rPr>
          <w:rFonts w:ascii="Times New Roman" w:hAnsi="Times New Roman"/>
          <w:i/>
          <w:iCs/>
        </w:rPr>
        <w:t xml:space="preserve"> of </w:t>
      </w:r>
      <w:proofErr w:type="spellStart"/>
      <w:r w:rsidRPr="003A1B10">
        <w:rPr>
          <w:rFonts w:ascii="Times New Roman" w:hAnsi="Times New Roman"/>
          <w:i/>
          <w:iCs/>
        </w:rPr>
        <w:t>Law</w:t>
      </w:r>
      <w:proofErr w:type="spellEnd"/>
      <w:r w:rsidRPr="003A1B10">
        <w:rPr>
          <w:rFonts w:ascii="Times New Roman" w:hAnsi="Times New Roman"/>
          <w:i/>
          <w:iCs/>
        </w:rPr>
        <w:t xml:space="preserve"> </w:t>
      </w:r>
      <w:proofErr w:type="spellStart"/>
      <w:r w:rsidRPr="003A1B10">
        <w:rPr>
          <w:rFonts w:ascii="Times New Roman" w:hAnsi="Times New Roman"/>
          <w:i/>
          <w:iCs/>
        </w:rPr>
        <w:t>and</w:t>
      </w:r>
      <w:proofErr w:type="spellEnd"/>
      <w:r w:rsidRPr="003A1B10">
        <w:rPr>
          <w:rFonts w:ascii="Times New Roman" w:hAnsi="Times New Roman"/>
          <w:i/>
          <w:iCs/>
        </w:rPr>
        <w:t xml:space="preserve"> Human </w:t>
      </w:r>
      <w:proofErr w:type="spellStart"/>
      <w:r w:rsidRPr="003A1B10">
        <w:rPr>
          <w:rFonts w:ascii="Times New Roman" w:hAnsi="Times New Roman"/>
          <w:i/>
          <w:iCs/>
        </w:rPr>
        <w:t>Rights</w:t>
      </w:r>
      <w:proofErr w:type="spellEnd"/>
      <w:r w:rsidRPr="003A1B10">
        <w:rPr>
          <w:rFonts w:ascii="Times New Roman" w:hAnsi="Times New Roman"/>
          <w:i/>
          <w:iCs/>
        </w:rPr>
        <w:t xml:space="preserve"> in </w:t>
      </w:r>
      <w:proofErr w:type="spellStart"/>
      <w:r w:rsidRPr="003A1B10">
        <w:rPr>
          <w:rFonts w:ascii="Times New Roman" w:hAnsi="Times New Roman"/>
          <w:i/>
          <w:iCs/>
        </w:rPr>
        <w:t>the</w:t>
      </w:r>
      <w:proofErr w:type="spellEnd"/>
      <w:r w:rsidRPr="003A1B10">
        <w:rPr>
          <w:rFonts w:ascii="Times New Roman" w:hAnsi="Times New Roman"/>
          <w:i/>
          <w:iCs/>
        </w:rPr>
        <w:t xml:space="preserve"> Framework of </w:t>
      </w:r>
      <w:proofErr w:type="spellStart"/>
      <w:r w:rsidRPr="003A1B10">
        <w:rPr>
          <w:rFonts w:ascii="Times New Roman" w:hAnsi="Times New Roman"/>
          <w:i/>
          <w:iCs/>
        </w:rPr>
        <w:t>the</w:t>
      </w:r>
      <w:proofErr w:type="spellEnd"/>
      <w:r w:rsidRPr="003A1B10">
        <w:rPr>
          <w:rFonts w:ascii="Times New Roman" w:hAnsi="Times New Roman"/>
          <w:i/>
          <w:iCs/>
        </w:rPr>
        <w:t xml:space="preserve"> COVID-19 </w:t>
      </w:r>
      <w:proofErr w:type="spellStart"/>
      <w:r w:rsidRPr="003A1B10">
        <w:rPr>
          <w:rFonts w:ascii="Times New Roman" w:hAnsi="Times New Roman"/>
          <w:i/>
          <w:iCs/>
        </w:rPr>
        <w:t>Sanitary</w:t>
      </w:r>
      <w:proofErr w:type="spellEnd"/>
      <w:r w:rsidRPr="003A1B10">
        <w:rPr>
          <w:rFonts w:ascii="Times New Roman" w:hAnsi="Times New Roman"/>
          <w:i/>
          <w:iCs/>
        </w:rPr>
        <w:t xml:space="preserve"> </w:t>
      </w:r>
      <w:proofErr w:type="spellStart"/>
      <w:r w:rsidRPr="003A1B10">
        <w:rPr>
          <w:rFonts w:ascii="Times New Roman" w:hAnsi="Times New Roman"/>
          <w:i/>
          <w:iCs/>
        </w:rPr>
        <w:t>Crisis</w:t>
      </w:r>
      <w:proofErr w:type="spellEnd"/>
      <w:r w:rsidRPr="003A1B10">
        <w:rPr>
          <w:rFonts w:ascii="Times New Roman" w:hAnsi="Times New Roman"/>
          <w:i/>
          <w:iCs/>
        </w:rPr>
        <w:t xml:space="preserve">: A Toolkit </w:t>
      </w:r>
      <w:proofErr w:type="spellStart"/>
      <w:r w:rsidRPr="003A1B10">
        <w:rPr>
          <w:rFonts w:ascii="Times New Roman" w:hAnsi="Times New Roman"/>
          <w:i/>
          <w:iCs/>
        </w:rPr>
        <w:t>for</w:t>
      </w:r>
      <w:proofErr w:type="spellEnd"/>
      <w:r w:rsidRPr="003A1B10">
        <w:rPr>
          <w:rFonts w:ascii="Times New Roman" w:hAnsi="Times New Roman"/>
          <w:i/>
          <w:iCs/>
        </w:rPr>
        <w:t xml:space="preserve"> </w:t>
      </w:r>
      <w:proofErr w:type="spellStart"/>
      <w:r w:rsidRPr="003A1B10">
        <w:rPr>
          <w:rFonts w:ascii="Times New Roman" w:hAnsi="Times New Roman"/>
          <w:i/>
          <w:iCs/>
        </w:rPr>
        <w:t>Member</w:t>
      </w:r>
      <w:proofErr w:type="spellEnd"/>
      <w:r w:rsidRPr="003A1B10">
        <w:rPr>
          <w:rFonts w:ascii="Times New Roman" w:hAnsi="Times New Roman"/>
          <w:i/>
          <w:iCs/>
        </w:rPr>
        <w:t xml:space="preserve"> </w:t>
      </w:r>
      <w:proofErr w:type="spellStart"/>
      <w:r w:rsidRPr="003A1B10">
        <w:rPr>
          <w:rFonts w:ascii="Times New Roman" w:hAnsi="Times New Roman"/>
          <w:i/>
          <w:iCs/>
        </w:rPr>
        <w:t>States</w:t>
      </w:r>
      <w:proofErr w:type="spellEnd"/>
      <w:r w:rsidRPr="003A1B10">
        <w:rPr>
          <w:rFonts w:ascii="Times New Roman" w:hAnsi="Times New Roman"/>
        </w:rPr>
        <w:t>, SG/</w:t>
      </w:r>
      <w:proofErr w:type="spellStart"/>
      <w:r w:rsidRPr="003A1B10">
        <w:rPr>
          <w:rFonts w:ascii="Times New Roman" w:hAnsi="Times New Roman"/>
        </w:rPr>
        <w:t>Inf</w:t>
      </w:r>
      <w:proofErr w:type="spellEnd"/>
      <w:r w:rsidRPr="003A1B10">
        <w:rPr>
          <w:rFonts w:ascii="Times New Roman" w:hAnsi="Times New Roman"/>
        </w:rPr>
        <w:t xml:space="preserve">(2020)11, 07.04.2020; </w:t>
      </w:r>
      <w:proofErr w:type="spellStart"/>
      <w:r w:rsidRPr="003A1B10">
        <w:rPr>
          <w:rFonts w:ascii="Times New Roman" w:hAnsi="Times New Roman"/>
        </w:rPr>
        <w:t>Venice</w:t>
      </w:r>
      <w:proofErr w:type="spellEnd"/>
      <w:r w:rsidRPr="003A1B10">
        <w:rPr>
          <w:rFonts w:ascii="Times New Roman" w:hAnsi="Times New Roman"/>
        </w:rPr>
        <w:t xml:space="preserve"> </w:t>
      </w:r>
      <w:proofErr w:type="spellStart"/>
      <w:r w:rsidRPr="003A1B10">
        <w:rPr>
          <w:rFonts w:ascii="Times New Roman" w:hAnsi="Times New Roman"/>
        </w:rPr>
        <w:t>Commission</w:t>
      </w:r>
      <w:proofErr w:type="spellEnd"/>
      <w:r w:rsidRPr="003A1B10">
        <w:rPr>
          <w:rFonts w:ascii="Times New Roman" w:hAnsi="Times New Roman"/>
        </w:rPr>
        <w:t xml:space="preserve">, </w:t>
      </w:r>
      <w:r w:rsidRPr="003A1B10">
        <w:rPr>
          <w:rFonts w:ascii="Times New Roman" w:hAnsi="Times New Roman"/>
          <w:i/>
          <w:iCs/>
        </w:rPr>
        <w:t xml:space="preserve">“On </w:t>
      </w:r>
      <w:proofErr w:type="spellStart"/>
      <w:r w:rsidRPr="003A1B10">
        <w:rPr>
          <w:rFonts w:ascii="Times New Roman" w:hAnsi="Times New Roman"/>
          <w:i/>
          <w:iCs/>
        </w:rPr>
        <w:t>the</w:t>
      </w:r>
      <w:proofErr w:type="spellEnd"/>
      <w:r w:rsidRPr="003A1B10">
        <w:rPr>
          <w:rFonts w:ascii="Times New Roman" w:hAnsi="Times New Roman"/>
          <w:i/>
          <w:iCs/>
        </w:rPr>
        <w:t xml:space="preserve"> </w:t>
      </w:r>
      <w:proofErr w:type="spellStart"/>
      <w:r w:rsidRPr="003A1B10">
        <w:rPr>
          <w:rFonts w:ascii="Times New Roman" w:hAnsi="Times New Roman"/>
          <w:i/>
          <w:iCs/>
        </w:rPr>
        <w:t>Measures</w:t>
      </w:r>
      <w:proofErr w:type="spellEnd"/>
      <w:r w:rsidRPr="003A1B10">
        <w:rPr>
          <w:rFonts w:ascii="Times New Roman" w:hAnsi="Times New Roman"/>
          <w:i/>
          <w:iCs/>
        </w:rPr>
        <w:t xml:space="preserve"> </w:t>
      </w:r>
      <w:proofErr w:type="spellStart"/>
      <w:r w:rsidRPr="003A1B10">
        <w:rPr>
          <w:rFonts w:ascii="Times New Roman" w:hAnsi="Times New Roman"/>
          <w:i/>
          <w:iCs/>
        </w:rPr>
        <w:t>Taken</w:t>
      </w:r>
      <w:proofErr w:type="spellEnd"/>
      <w:r w:rsidRPr="003A1B10">
        <w:rPr>
          <w:rFonts w:ascii="Times New Roman" w:hAnsi="Times New Roman"/>
          <w:i/>
          <w:iCs/>
        </w:rPr>
        <w:t xml:space="preserve"> in </w:t>
      </w:r>
      <w:proofErr w:type="spellStart"/>
      <w:r w:rsidRPr="003A1B10">
        <w:rPr>
          <w:rFonts w:ascii="Times New Roman" w:hAnsi="Times New Roman"/>
          <w:i/>
          <w:iCs/>
        </w:rPr>
        <w:t>the</w:t>
      </w:r>
      <w:proofErr w:type="spellEnd"/>
      <w:r w:rsidRPr="003A1B10">
        <w:rPr>
          <w:rFonts w:ascii="Times New Roman" w:hAnsi="Times New Roman"/>
          <w:i/>
          <w:iCs/>
        </w:rPr>
        <w:t xml:space="preserve"> EU </w:t>
      </w:r>
      <w:proofErr w:type="spellStart"/>
      <w:r w:rsidRPr="003A1B10">
        <w:rPr>
          <w:rFonts w:ascii="Times New Roman" w:hAnsi="Times New Roman"/>
          <w:i/>
          <w:iCs/>
        </w:rPr>
        <w:t>Member</w:t>
      </w:r>
      <w:proofErr w:type="spellEnd"/>
      <w:r w:rsidRPr="003A1B10">
        <w:rPr>
          <w:rFonts w:ascii="Times New Roman" w:hAnsi="Times New Roman"/>
          <w:i/>
          <w:iCs/>
        </w:rPr>
        <w:t xml:space="preserve"> </w:t>
      </w:r>
      <w:proofErr w:type="spellStart"/>
      <w:r w:rsidRPr="003A1B10">
        <w:rPr>
          <w:rFonts w:ascii="Times New Roman" w:hAnsi="Times New Roman"/>
          <w:i/>
          <w:iCs/>
        </w:rPr>
        <w:t>States</w:t>
      </w:r>
      <w:proofErr w:type="spellEnd"/>
      <w:r w:rsidRPr="003A1B10">
        <w:rPr>
          <w:rFonts w:ascii="Times New Roman" w:hAnsi="Times New Roman"/>
          <w:i/>
          <w:iCs/>
        </w:rPr>
        <w:t xml:space="preserve"> as a </w:t>
      </w:r>
      <w:proofErr w:type="spellStart"/>
      <w:r w:rsidRPr="003A1B10">
        <w:rPr>
          <w:rFonts w:ascii="Times New Roman" w:hAnsi="Times New Roman"/>
          <w:i/>
          <w:iCs/>
        </w:rPr>
        <w:t>Result</w:t>
      </w:r>
      <w:proofErr w:type="spellEnd"/>
      <w:r w:rsidRPr="003A1B10">
        <w:rPr>
          <w:rFonts w:ascii="Times New Roman" w:hAnsi="Times New Roman"/>
          <w:i/>
          <w:iCs/>
        </w:rPr>
        <w:t xml:space="preserve"> of </w:t>
      </w:r>
      <w:proofErr w:type="spellStart"/>
      <w:r w:rsidRPr="003A1B10">
        <w:rPr>
          <w:rFonts w:ascii="Times New Roman" w:hAnsi="Times New Roman"/>
          <w:i/>
          <w:iCs/>
        </w:rPr>
        <w:t>the</w:t>
      </w:r>
      <w:proofErr w:type="spellEnd"/>
      <w:r w:rsidRPr="003A1B10">
        <w:rPr>
          <w:rFonts w:ascii="Times New Roman" w:hAnsi="Times New Roman"/>
          <w:i/>
          <w:iCs/>
        </w:rPr>
        <w:t xml:space="preserve"> Covid-19 </w:t>
      </w:r>
      <w:proofErr w:type="spellStart"/>
      <w:r w:rsidRPr="003A1B10">
        <w:rPr>
          <w:rFonts w:ascii="Times New Roman" w:hAnsi="Times New Roman"/>
          <w:i/>
          <w:iCs/>
        </w:rPr>
        <w:t>Crisis</w:t>
      </w:r>
      <w:proofErr w:type="spellEnd"/>
      <w:r w:rsidRPr="003A1B10">
        <w:rPr>
          <w:rFonts w:ascii="Times New Roman" w:hAnsi="Times New Roman"/>
          <w:i/>
          <w:iCs/>
        </w:rPr>
        <w:t xml:space="preserve"> </w:t>
      </w:r>
      <w:proofErr w:type="spellStart"/>
      <w:r w:rsidRPr="003A1B10">
        <w:rPr>
          <w:rFonts w:ascii="Times New Roman" w:hAnsi="Times New Roman"/>
          <w:i/>
          <w:iCs/>
        </w:rPr>
        <w:t>and</w:t>
      </w:r>
      <w:proofErr w:type="spellEnd"/>
      <w:r w:rsidRPr="003A1B10">
        <w:rPr>
          <w:rFonts w:ascii="Times New Roman" w:hAnsi="Times New Roman"/>
          <w:i/>
          <w:iCs/>
        </w:rPr>
        <w:t xml:space="preserve"> </w:t>
      </w:r>
      <w:proofErr w:type="spellStart"/>
      <w:r w:rsidRPr="003A1B10">
        <w:rPr>
          <w:rFonts w:ascii="Times New Roman" w:hAnsi="Times New Roman"/>
          <w:i/>
          <w:iCs/>
        </w:rPr>
        <w:t>Their</w:t>
      </w:r>
      <w:proofErr w:type="spellEnd"/>
      <w:r w:rsidRPr="003A1B10">
        <w:rPr>
          <w:rFonts w:ascii="Times New Roman" w:hAnsi="Times New Roman"/>
          <w:i/>
          <w:iCs/>
        </w:rPr>
        <w:t xml:space="preserve"> </w:t>
      </w:r>
      <w:proofErr w:type="spellStart"/>
      <w:r w:rsidRPr="003A1B10">
        <w:rPr>
          <w:rFonts w:ascii="Times New Roman" w:hAnsi="Times New Roman"/>
          <w:i/>
          <w:iCs/>
        </w:rPr>
        <w:t>Impact</w:t>
      </w:r>
      <w:proofErr w:type="spellEnd"/>
      <w:r w:rsidRPr="003A1B10">
        <w:rPr>
          <w:rFonts w:ascii="Times New Roman" w:hAnsi="Times New Roman"/>
          <w:i/>
          <w:iCs/>
        </w:rPr>
        <w:t xml:space="preserve"> on </w:t>
      </w:r>
      <w:proofErr w:type="spellStart"/>
      <w:r w:rsidRPr="003A1B10">
        <w:rPr>
          <w:rFonts w:ascii="Times New Roman" w:hAnsi="Times New Roman"/>
          <w:i/>
          <w:iCs/>
        </w:rPr>
        <w:t>Democracy</w:t>
      </w:r>
      <w:proofErr w:type="spellEnd"/>
      <w:r w:rsidRPr="003A1B10">
        <w:rPr>
          <w:rFonts w:ascii="Times New Roman" w:hAnsi="Times New Roman"/>
          <w:i/>
          <w:iCs/>
        </w:rPr>
        <w:t xml:space="preserve">, </w:t>
      </w:r>
      <w:proofErr w:type="spellStart"/>
      <w:r w:rsidRPr="003A1B10">
        <w:rPr>
          <w:rFonts w:ascii="Times New Roman" w:hAnsi="Times New Roman"/>
          <w:i/>
          <w:iCs/>
        </w:rPr>
        <w:t>The</w:t>
      </w:r>
      <w:proofErr w:type="spellEnd"/>
      <w:r w:rsidRPr="003A1B10">
        <w:rPr>
          <w:rFonts w:ascii="Times New Roman" w:hAnsi="Times New Roman"/>
          <w:i/>
          <w:iCs/>
        </w:rPr>
        <w:t xml:space="preserve"> </w:t>
      </w:r>
      <w:proofErr w:type="spellStart"/>
      <w:r w:rsidRPr="003A1B10">
        <w:rPr>
          <w:rFonts w:ascii="Times New Roman" w:hAnsi="Times New Roman"/>
          <w:i/>
          <w:iCs/>
        </w:rPr>
        <w:t>Rule</w:t>
      </w:r>
      <w:proofErr w:type="spellEnd"/>
      <w:r w:rsidRPr="003A1B10">
        <w:rPr>
          <w:rFonts w:ascii="Times New Roman" w:hAnsi="Times New Roman"/>
          <w:i/>
          <w:iCs/>
        </w:rPr>
        <w:t xml:space="preserve"> of </w:t>
      </w:r>
      <w:proofErr w:type="spellStart"/>
      <w:r w:rsidRPr="003A1B10">
        <w:rPr>
          <w:rFonts w:ascii="Times New Roman" w:hAnsi="Times New Roman"/>
          <w:i/>
          <w:iCs/>
        </w:rPr>
        <w:t>Law</w:t>
      </w:r>
      <w:proofErr w:type="spellEnd"/>
      <w:r w:rsidRPr="003A1B10">
        <w:rPr>
          <w:rFonts w:ascii="Times New Roman" w:hAnsi="Times New Roman"/>
          <w:i/>
          <w:iCs/>
        </w:rPr>
        <w:t xml:space="preserve"> </w:t>
      </w:r>
      <w:proofErr w:type="spellStart"/>
      <w:r w:rsidRPr="003A1B10">
        <w:rPr>
          <w:rFonts w:ascii="Times New Roman" w:hAnsi="Times New Roman"/>
          <w:i/>
          <w:iCs/>
        </w:rPr>
        <w:t>and</w:t>
      </w:r>
      <w:proofErr w:type="spellEnd"/>
      <w:r w:rsidRPr="003A1B10">
        <w:rPr>
          <w:rFonts w:ascii="Times New Roman" w:hAnsi="Times New Roman"/>
          <w:i/>
          <w:iCs/>
        </w:rPr>
        <w:t xml:space="preserve"> </w:t>
      </w:r>
      <w:proofErr w:type="spellStart"/>
      <w:r w:rsidRPr="003A1B10">
        <w:rPr>
          <w:rFonts w:ascii="Times New Roman" w:hAnsi="Times New Roman"/>
          <w:i/>
          <w:iCs/>
        </w:rPr>
        <w:t>Fundamental</w:t>
      </w:r>
      <w:proofErr w:type="spellEnd"/>
      <w:r w:rsidRPr="003A1B10">
        <w:rPr>
          <w:rFonts w:ascii="Times New Roman" w:hAnsi="Times New Roman"/>
          <w:i/>
          <w:iCs/>
        </w:rPr>
        <w:t xml:space="preserve"> </w:t>
      </w:r>
      <w:proofErr w:type="spellStart"/>
      <w:r w:rsidRPr="003A1B10">
        <w:rPr>
          <w:rFonts w:ascii="Times New Roman" w:hAnsi="Times New Roman"/>
          <w:i/>
          <w:iCs/>
        </w:rPr>
        <w:t>Rights</w:t>
      </w:r>
      <w:proofErr w:type="spellEnd"/>
      <w:r w:rsidRPr="003A1B10">
        <w:rPr>
          <w:rFonts w:ascii="Times New Roman" w:hAnsi="Times New Roman"/>
          <w:i/>
          <w:iCs/>
        </w:rPr>
        <w:t>”</w:t>
      </w:r>
      <w:r w:rsidRPr="003A1B10">
        <w:rPr>
          <w:rFonts w:ascii="Times New Roman" w:hAnsi="Times New Roman"/>
        </w:rPr>
        <w:t>, CDL-AD (2020)018, 08.10.2020; “</w:t>
      </w:r>
      <w:proofErr w:type="spellStart"/>
      <w:r w:rsidRPr="003A1B10">
        <w:rPr>
          <w:rFonts w:ascii="Times New Roman" w:hAnsi="Times New Roman"/>
        </w:rPr>
        <w:t>States</w:t>
      </w:r>
      <w:proofErr w:type="spellEnd"/>
      <w:r w:rsidRPr="003A1B10">
        <w:rPr>
          <w:rFonts w:ascii="Times New Roman" w:hAnsi="Times New Roman"/>
        </w:rPr>
        <w:t xml:space="preserve"> of </w:t>
      </w:r>
      <w:proofErr w:type="spellStart"/>
      <w:r w:rsidRPr="003A1B10">
        <w:rPr>
          <w:rFonts w:ascii="Times New Roman" w:hAnsi="Times New Roman"/>
        </w:rPr>
        <w:t>Emergency</w:t>
      </w:r>
      <w:proofErr w:type="spellEnd"/>
      <w:r w:rsidRPr="003A1B10">
        <w:rPr>
          <w:rFonts w:ascii="Times New Roman" w:hAnsi="Times New Roman"/>
        </w:rPr>
        <w:t xml:space="preserve"> in </w:t>
      </w:r>
      <w:proofErr w:type="spellStart"/>
      <w:r w:rsidRPr="003A1B10">
        <w:rPr>
          <w:rFonts w:ascii="Times New Roman" w:hAnsi="Times New Roman"/>
        </w:rPr>
        <w:t>Response</w:t>
      </w:r>
      <w:proofErr w:type="spellEnd"/>
      <w:r w:rsidRPr="003A1B10">
        <w:rPr>
          <w:rFonts w:ascii="Times New Roman" w:hAnsi="Times New Roman"/>
        </w:rPr>
        <w:t xml:space="preserve"> </w:t>
      </w:r>
      <w:proofErr w:type="spellStart"/>
      <w:r w:rsidRPr="003A1B10">
        <w:rPr>
          <w:rFonts w:ascii="Times New Roman" w:hAnsi="Times New Roman"/>
        </w:rPr>
        <w:t>to</w:t>
      </w:r>
      <w:proofErr w:type="spellEnd"/>
      <w:r w:rsidRPr="003A1B10">
        <w:rPr>
          <w:rFonts w:ascii="Times New Roman" w:hAnsi="Times New Roman"/>
        </w:rPr>
        <w:t xml:space="preserve"> </w:t>
      </w:r>
      <w:proofErr w:type="spellStart"/>
      <w:r w:rsidRPr="003A1B10">
        <w:rPr>
          <w:rFonts w:ascii="Times New Roman" w:hAnsi="Times New Roman"/>
        </w:rPr>
        <w:t>the</w:t>
      </w:r>
      <w:proofErr w:type="spellEnd"/>
      <w:r w:rsidRPr="003A1B10">
        <w:rPr>
          <w:rFonts w:ascii="Times New Roman" w:hAnsi="Times New Roman"/>
        </w:rPr>
        <w:t xml:space="preserve"> </w:t>
      </w:r>
      <w:proofErr w:type="spellStart"/>
      <w:r w:rsidRPr="003A1B10">
        <w:rPr>
          <w:rFonts w:ascii="Times New Roman" w:hAnsi="Times New Roman"/>
        </w:rPr>
        <w:t>Coronavirus</w:t>
      </w:r>
      <w:proofErr w:type="spellEnd"/>
      <w:r w:rsidRPr="003A1B10">
        <w:rPr>
          <w:rFonts w:ascii="Times New Roman" w:hAnsi="Times New Roman"/>
        </w:rPr>
        <w:t xml:space="preserve"> </w:t>
      </w:r>
      <w:proofErr w:type="spellStart"/>
      <w:r w:rsidRPr="003A1B10">
        <w:rPr>
          <w:rFonts w:ascii="Times New Roman" w:hAnsi="Times New Roman"/>
        </w:rPr>
        <w:t>Crisis</w:t>
      </w:r>
      <w:proofErr w:type="spellEnd"/>
      <w:r w:rsidRPr="003A1B10">
        <w:rPr>
          <w:rFonts w:ascii="Times New Roman" w:hAnsi="Times New Roman"/>
        </w:rPr>
        <w:t xml:space="preserve">: </w:t>
      </w:r>
      <w:proofErr w:type="spellStart"/>
      <w:r w:rsidRPr="003A1B10">
        <w:rPr>
          <w:rFonts w:ascii="Times New Roman" w:hAnsi="Times New Roman"/>
        </w:rPr>
        <w:t>Situation</w:t>
      </w:r>
      <w:proofErr w:type="spellEnd"/>
      <w:r w:rsidRPr="003A1B10">
        <w:rPr>
          <w:rFonts w:ascii="Times New Roman" w:hAnsi="Times New Roman"/>
        </w:rPr>
        <w:t xml:space="preserve"> in </w:t>
      </w:r>
      <w:proofErr w:type="spellStart"/>
      <w:r w:rsidRPr="003A1B10">
        <w:rPr>
          <w:rFonts w:ascii="Times New Roman" w:hAnsi="Times New Roman"/>
        </w:rPr>
        <w:t>Certain</w:t>
      </w:r>
      <w:proofErr w:type="spellEnd"/>
      <w:r w:rsidRPr="003A1B10">
        <w:rPr>
          <w:rFonts w:ascii="Times New Roman" w:hAnsi="Times New Roman"/>
        </w:rPr>
        <w:t xml:space="preserve"> </w:t>
      </w:r>
      <w:proofErr w:type="spellStart"/>
      <w:r w:rsidRPr="003A1B10">
        <w:rPr>
          <w:rFonts w:ascii="Times New Roman" w:hAnsi="Times New Roman"/>
        </w:rPr>
        <w:t>Member</w:t>
      </w:r>
      <w:proofErr w:type="spellEnd"/>
      <w:r w:rsidRPr="003A1B10">
        <w:rPr>
          <w:rFonts w:ascii="Times New Roman" w:hAnsi="Times New Roman"/>
        </w:rPr>
        <w:t xml:space="preserve"> </w:t>
      </w:r>
      <w:proofErr w:type="spellStart"/>
      <w:r w:rsidRPr="003A1B10">
        <w:rPr>
          <w:rFonts w:ascii="Times New Roman" w:hAnsi="Times New Roman"/>
        </w:rPr>
        <w:t>States</w:t>
      </w:r>
      <w:proofErr w:type="spellEnd"/>
      <w:r w:rsidRPr="003A1B10">
        <w:rPr>
          <w:rFonts w:ascii="Times New Roman" w:hAnsi="Times New Roman"/>
        </w:rPr>
        <w:t xml:space="preserve">”, </w:t>
      </w:r>
      <w:proofErr w:type="spellStart"/>
      <w:r w:rsidRPr="003A1B10">
        <w:rPr>
          <w:rFonts w:ascii="Times New Roman" w:hAnsi="Times New Roman"/>
          <w:i/>
          <w:iCs/>
        </w:rPr>
        <w:t>European</w:t>
      </w:r>
      <w:proofErr w:type="spellEnd"/>
      <w:r w:rsidRPr="003A1B10">
        <w:rPr>
          <w:rFonts w:ascii="Times New Roman" w:hAnsi="Times New Roman"/>
          <w:i/>
          <w:iCs/>
        </w:rPr>
        <w:t xml:space="preserve"> </w:t>
      </w:r>
      <w:proofErr w:type="spellStart"/>
      <w:r w:rsidRPr="003A1B10">
        <w:rPr>
          <w:rFonts w:ascii="Times New Roman" w:hAnsi="Times New Roman"/>
          <w:i/>
          <w:iCs/>
        </w:rPr>
        <w:t>Parliamentary</w:t>
      </w:r>
      <w:proofErr w:type="spellEnd"/>
      <w:r w:rsidRPr="003A1B10">
        <w:rPr>
          <w:rFonts w:ascii="Times New Roman" w:hAnsi="Times New Roman"/>
          <w:i/>
          <w:iCs/>
        </w:rPr>
        <w:t xml:space="preserve"> </w:t>
      </w:r>
      <w:proofErr w:type="spellStart"/>
      <w:r w:rsidRPr="003A1B10">
        <w:rPr>
          <w:rFonts w:ascii="Times New Roman" w:hAnsi="Times New Roman"/>
          <w:i/>
          <w:iCs/>
        </w:rPr>
        <w:t>Research</w:t>
      </w:r>
      <w:proofErr w:type="spellEnd"/>
      <w:r w:rsidRPr="003A1B10">
        <w:rPr>
          <w:rFonts w:ascii="Times New Roman" w:hAnsi="Times New Roman"/>
          <w:i/>
          <w:iCs/>
        </w:rPr>
        <w:t xml:space="preserve"> Service/EPRS</w:t>
      </w:r>
      <w:r w:rsidRPr="003A1B10">
        <w:rPr>
          <w:rFonts w:ascii="Times New Roman" w:hAnsi="Times New Roman"/>
        </w:rPr>
        <w:t xml:space="preserve">, </w:t>
      </w:r>
      <w:proofErr w:type="spellStart"/>
      <w:r w:rsidRPr="003A1B10">
        <w:rPr>
          <w:rFonts w:ascii="Times New Roman" w:hAnsi="Times New Roman"/>
        </w:rPr>
        <w:t>June</w:t>
      </w:r>
      <w:proofErr w:type="spellEnd"/>
      <w:r w:rsidRPr="003A1B10">
        <w:rPr>
          <w:rFonts w:ascii="Times New Roman" w:hAnsi="Times New Roman"/>
        </w:rPr>
        <w:t xml:space="preserve"> 2020.</w:t>
      </w:r>
    </w:p>
    <w:p w14:paraId="13825473" w14:textId="234A2558" w:rsidR="00336E79" w:rsidRPr="003A1B10" w:rsidRDefault="00336E79" w:rsidP="003A1B10">
      <w:pPr>
        <w:pStyle w:val="FootnoteText"/>
        <w:ind w:left="0" w:right="0"/>
        <w:contextualSpacing/>
        <w:jc w:val="both"/>
        <w:rPr>
          <w:rFonts w:ascii="Times New Roman" w:hAnsi="Times New Roman"/>
        </w:rPr>
      </w:pPr>
    </w:p>
  </w:footnote>
  <w:footnote w:id="5">
    <w:p w14:paraId="2497EF24" w14:textId="41E21302"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Bkz. </w:t>
      </w:r>
      <w:proofErr w:type="spellStart"/>
      <w:r w:rsidRPr="003A1B10">
        <w:rPr>
          <w:rFonts w:ascii="Times New Roman" w:hAnsi="Times New Roman"/>
        </w:rPr>
        <w:t>Council</w:t>
      </w:r>
      <w:proofErr w:type="spellEnd"/>
      <w:r w:rsidRPr="003A1B10">
        <w:rPr>
          <w:rFonts w:ascii="Times New Roman" w:hAnsi="Times New Roman"/>
        </w:rPr>
        <w:t xml:space="preserve"> of Europe, </w:t>
      </w:r>
      <w:proofErr w:type="spellStart"/>
      <w:r w:rsidRPr="003A1B10">
        <w:rPr>
          <w:rFonts w:ascii="Times New Roman" w:hAnsi="Times New Roman"/>
        </w:rPr>
        <w:t>Respecting</w:t>
      </w:r>
      <w:proofErr w:type="spellEnd"/>
      <w:r w:rsidRPr="003A1B10">
        <w:rPr>
          <w:rFonts w:ascii="Times New Roman" w:hAnsi="Times New Roman"/>
        </w:rPr>
        <w:t xml:space="preserve"> </w:t>
      </w:r>
      <w:proofErr w:type="spellStart"/>
      <w:r w:rsidRPr="003A1B10">
        <w:rPr>
          <w:rFonts w:ascii="Times New Roman" w:hAnsi="Times New Roman"/>
        </w:rPr>
        <w:t>Democracy</w:t>
      </w:r>
      <w:proofErr w:type="spellEnd"/>
      <w:r w:rsidRPr="003A1B10">
        <w:rPr>
          <w:rFonts w:ascii="Times New Roman" w:hAnsi="Times New Roman"/>
        </w:rPr>
        <w:t xml:space="preserve">, </w:t>
      </w:r>
      <w:proofErr w:type="spellStart"/>
      <w:r w:rsidRPr="003A1B10">
        <w:rPr>
          <w:rFonts w:ascii="Times New Roman" w:hAnsi="Times New Roman"/>
        </w:rPr>
        <w:t>Rule</w:t>
      </w:r>
      <w:proofErr w:type="spellEnd"/>
      <w:r w:rsidRPr="003A1B10">
        <w:rPr>
          <w:rFonts w:ascii="Times New Roman" w:hAnsi="Times New Roman"/>
        </w:rPr>
        <w:t xml:space="preserve"> of </w:t>
      </w:r>
      <w:proofErr w:type="spellStart"/>
      <w:r w:rsidRPr="003A1B10">
        <w:rPr>
          <w:rFonts w:ascii="Times New Roman" w:hAnsi="Times New Roman"/>
        </w:rPr>
        <w:t>Law</w:t>
      </w:r>
      <w:proofErr w:type="spellEnd"/>
      <w:r w:rsidRPr="003A1B10">
        <w:rPr>
          <w:rFonts w:ascii="Times New Roman" w:hAnsi="Times New Roman"/>
        </w:rPr>
        <w:t xml:space="preserve"> </w:t>
      </w:r>
      <w:proofErr w:type="spellStart"/>
      <w:r w:rsidRPr="003A1B10">
        <w:rPr>
          <w:rFonts w:ascii="Times New Roman" w:hAnsi="Times New Roman"/>
        </w:rPr>
        <w:t>and</w:t>
      </w:r>
      <w:proofErr w:type="spellEnd"/>
      <w:r w:rsidRPr="003A1B10">
        <w:rPr>
          <w:rFonts w:ascii="Times New Roman" w:hAnsi="Times New Roman"/>
        </w:rPr>
        <w:t xml:space="preserve"> Human </w:t>
      </w:r>
      <w:proofErr w:type="spellStart"/>
      <w:r w:rsidRPr="003A1B10">
        <w:rPr>
          <w:rFonts w:ascii="Times New Roman" w:hAnsi="Times New Roman"/>
        </w:rPr>
        <w:t>Rights</w:t>
      </w:r>
      <w:proofErr w:type="spellEnd"/>
      <w:r w:rsidRPr="003A1B10">
        <w:rPr>
          <w:rFonts w:ascii="Times New Roman" w:hAnsi="Times New Roman"/>
        </w:rPr>
        <w:t xml:space="preserve"> in </w:t>
      </w:r>
      <w:proofErr w:type="spellStart"/>
      <w:r w:rsidRPr="003A1B10">
        <w:rPr>
          <w:rFonts w:ascii="Times New Roman" w:hAnsi="Times New Roman"/>
        </w:rPr>
        <w:t>the</w:t>
      </w:r>
      <w:proofErr w:type="spellEnd"/>
      <w:r w:rsidRPr="003A1B10">
        <w:rPr>
          <w:rFonts w:ascii="Times New Roman" w:hAnsi="Times New Roman"/>
        </w:rPr>
        <w:t xml:space="preserve"> Framework of </w:t>
      </w:r>
      <w:proofErr w:type="spellStart"/>
      <w:r w:rsidRPr="003A1B10">
        <w:rPr>
          <w:rFonts w:ascii="Times New Roman" w:hAnsi="Times New Roman"/>
        </w:rPr>
        <w:t>the</w:t>
      </w:r>
      <w:proofErr w:type="spellEnd"/>
      <w:r w:rsidRPr="003A1B10">
        <w:rPr>
          <w:rFonts w:ascii="Times New Roman" w:hAnsi="Times New Roman"/>
        </w:rPr>
        <w:t xml:space="preserve"> COVID-19 </w:t>
      </w:r>
      <w:proofErr w:type="spellStart"/>
      <w:r w:rsidRPr="003A1B10">
        <w:rPr>
          <w:rFonts w:ascii="Times New Roman" w:hAnsi="Times New Roman"/>
        </w:rPr>
        <w:t>Sanitary</w:t>
      </w:r>
      <w:proofErr w:type="spellEnd"/>
      <w:r w:rsidRPr="003A1B10">
        <w:rPr>
          <w:rFonts w:ascii="Times New Roman" w:hAnsi="Times New Roman"/>
        </w:rPr>
        <w:t xml:space="preserve"> </w:t>
      </w:r>
      <w:proofErr w:type="spellStart"/>
      <w:r w:rsidRPr="003A1B10">
        <w:rPr>
          <w:rFonts w:ascii="Times New Roman" w:hAnsi="Times New Roman"/>
        </w:rPr>
        <w:t>Crisis</w:t>
      </w:r>
      <w:proofErr w:type="spellEnd"/>
      <w:r w:rsidRPr="003A1B10">
        <w:rPr>
          <w:rFonts w:ascii="Times New Roman" w:hAnsi="Times New Roman"/>
        </w:rPr>
        <w:t xml:space="preserve">: A Toolkit </w:t>
      </w:r>
      <w:proofErr w:type="spellStart"/>
      <w:r w:rsidRPr="003A1B10">
        <w:rPr>
          <w:rFonts w:ascii="Times New Roman" w:hAnsi="Times New Roman"/>
        </w:rPr>
        <w:t>for</w:t>
      </w:r>
      <w:proofErr w:type="spellEnd"/>
      <w:r w:rsidRPr="003A1B10">
        <w:rPr>
          <w:rFonts w:ascii="Times New Roman" w:hAnsi="Times New Roman"/>
        </w:rPr>
        <w:t xml:space="preserve"> </w:t>
      </w:r>
      <w:proofErr w:type="spellStart"/>
      <w:r w:rsidRPr="003A1B10">
        <w:rPr>
          <w:rFonts w:ascii="Times New Roman" w:hAnsi="Times New Roman"/>
        </w:rPr>
        <w:t>Member</w:t>
      </w:r>
      <w:proofErr w:type="spellEnd"/>
      <w:r w:rsidRPr="003A1B10">
        <w:rPr>
          <w:rFonts w:ascii="Times New Roman" w:hAnsi="Times New Roman"/>
        </w:rPr>
        <w:t xml:space="preserve"> </w:t>
      </w:r>
      <w:proofErr w:type="spellStart"/>
      <w:r w:rsidRPr="003A1B10">
        <w:rPr>
          <w:rFonts w:ascii="Times New Roman" w:hAnsi="Times New Roman"/>
        </w:rPr>
        <w:t>States</w:t>
      </w:r>
      <w:proofErr w:type="spellEnd"/>
      <w:r w:rsidRPr="003A1B10">
        <w:rPr>
          <w:rFonts w:ascii="Times New Roman" w:hAnsi="Times New Roman"/>
        </w:rPr>
        <w:t>, SG/</w:t>
      </w:r>
      <w:proofErr w:type="spellStart"/>
      <w:proofErr w:type="gramStart"/>
      <w:r w:rsidRPr="003A1B10">
        <w:rPr>
          <w:rFonts w:ascii="Times New Roman" w:hAnsi="Times New Roman"/>
        </w:rPr>
        <w:t>Inf</w:t>
      </w:r>
      <w:proofErr w:type="spellEnd"/>
      <w:r w:rsidRPr="003A1B10">
        <w:rPr>
          <w:rFonts w:ascii="Times New Roman" w:hAnsi="Times New Roman"/>
        </w:rPr>
        <w:t>(</w:t>
      </w:r>
      <w:proofErr w:type="gramEnd"/>
      <w:r w:rsidRPr="003A1B10">
        <w:rPr>
          <w:rFonts w:ascii="Times New Roman" w:hAnsi="Times New Roman"/>
        </w:rPr>
        <w:t xml:space="preserve">2020)11, 07.04.2020, </w:t>
      </w:r>
      <w:hyperlink r:id="rId4" w:history="1">
        <w:r w:rsidRPr="003A1B10">
          <w:rPr>
            <w:rStyle w:val="Hyperlink"/>
            <w:rFonts w:ascii="Times New Roman" w:hAnsi="Times New Roman"/>
            <w:color w:val="auto"/>
            <w:u w:val="none"/>
          </w:rPr>
          <w:t>https://rm.coe.int/sg-inf-2020-11-respecting-democracy-rule-of-law-and-human-rights-in-th/16809e1f40</w:t>
        </w:r>
      </w:hyperlink>
      <w:r w:rsidRPr="003A1B10">
        <w:rPr>
          <w:rFonts w:ascii="Times New Roman" w:hAnsi="Times New Roman"/>
        </w:rPr>
        <w:t>, e.t. 12.10.2020.</w:t>
      </w:r>
    </w:p>
  </w:footnote>
  <w:footnote w:id="6">
    <w:p w14:paraId="61650FAE" w14:textId="439B9828"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Venice</w:t>
      </w:r>
      <w:proofErr w:type="spellEnd"/>
      <w:r w:rsidRPr="003A1B10">
        <w:rPr>
          <w:rFonts w:ascii="Times New Roman" w:hAnsi="Times New Roman"/>
        </w:rPr>
        <w:t xml:space="preserve"> </w:t>
      </w:r>
      <w:proofErr w:type="spellStart"/>
      <w:r w:rsidRPr="003A1B10">
        <w:rPr>
          <w:rFonts w:ascii="Times New Roman" w:hAnsi="Times New Roman"/>
        </w:rPr>
        <w:t>Commission</w:t>
      </w:r>
      <w:proofErr w:type="spellEnd"/>
      <w:r w:rsidRPr="003A1B10">
        <w:rPr>
          <w:rFonts w:ascii="Times New Roman" w:hAnsi="Times New Roman"/>
        </w:rPr>
        <w:t xml:space="preserve">, </w:t>
      </w:r>
      <w:r w:rsidRPr="003A1B10">
        <w:rPr>
          <w:rFonts w:ascii="Times New Roman" w:hAnsi="Times New Roman"/>
          <w:i/>
          <w:iCs/>
        </w:rPr>
        <w:t xml:space="preserve">“On </w:t>
      </w:r>
      <w:proofErr w:type="spellStart"/>
      <w:r w:rsidRPr="003A1B10">
        <w:rPr>
          <w:rFonts w:ascii="Times New Roman" w:hAnsi="Times New Roman"/>
          <w:i/>
          <w:iCs/>
        </w:rPr>
        <w:t>the</w:t>
      </w:r>
      <w:proofErr w:type="spellEnd"/>
      <w:r w:rsidRPr="003A1B10">
        <w:rPr>
          <w:rFonts w:ascii="Times New Roman" w:hAnsi="Times New Roman"/>
          <w:i/>
          <w:iCs/>
        </w:rPr>
        <w:t xml:space="preserve"> </w:t>
      </w:r>
      <w:proofErr w:type="spellStart"/>
      <w:r w:rsidRPr="003A1B10">
        <w:rPr>
          <w:rFonts w:ascii="Times New Roman" w:hAnsi="Times New Roman"/>
          <w:i/>
          <w:iCs/>
        </w:rPr>
        <w:t>Measures</w:t>
      </w:r>
      <w:proofErr w:type="spellEnd"/>
      <w:r w:rsidRPr="003A1B10">
        <w:rPr>
          <w:rFonts w:ascii="Times New Roman" w:hAnsi="Times New Roman"/>
          <w:i/>
          <w:iCs/>
        </w:rPr>
        <w:t xml:space="preserve"> </w:t>
      </w:r>
      <w:proofErr w:type="spellStart"/>
      <w:r w:rsidRPr="003A1B10">
        <w:rPr>
          <w:rFonts w:ascii="Times New Roman" w:hAnsi="Times New Roman"/>
          <w:i/>
          <w:iCs/>
        </w:rPr>
        <w:t>Taken</w:t>
      </w:r>
      <w:proofErr w:type="spellEnd"/>
      <w:r w:rsidRPr="003A1B10">
        <w:rPr>
          <w:rFonts w:ascii="Times New Roman" w:hAnsi="Times New Roman"/>
          <w:i/>
          <w:iCs/>
        </w:rPr>
        <w:t xml:space="preserve"> in </w:t>
      </w:r>
      <w:proofErr w:type="spellStart"/>
      <w:r w:rsidRPr="003A1B10">
        <w:rPr>
          <w:rFonts w:ascii="Times New Roman" w:hAnsi="Times New Roman"/>
          <w:i/>
          <w:iCs/>
        </w:rPr>
        <w:t>the</w:t>
      </w:r>
      <w:proofErr w:type="spellEnd"/>
      <w:r w:rsidRPr="003A1B10">
        <w:rPr>
          <w:rFonts w:ascii="Times New Roman" w:hAnsi="Times New Roman"/>
          <w:i/>
          <w:iCs/>
        </w:rPr>
        <w:t xml:space="preserve"> EU </w:t>
      </w:r>
      <w:proofErr w:type="spellStart"/>
      <w:r w:rsidRPr="003A1B10">
        <w:rPr>
          <w:rFonts w:ascii="Times New Roman" w:hAnsi="Times New Roman"/>
          <w:i/>
          <w:iCs/>
        </w:rPr>
        <w:t>Member</w:t>
      </w:r>
      <w:proofErr w:type="spellEnd"/>
      <w:r w:rsidRPr="003A1B10">
        <w:rPr>
          <w:rFonts w:ascii="Times New Roman" w:hAnsi="Times New Roman"/>
          <w:i/>
          <w:iCs/>
        </w:rPr>
        <w:t xml:space="preserve"> </w:t>
      </w:r>
      <w:proofErr w:type="spellStart"/>
      <w:r w:rsidRPr="003A1B10">
        <w:rPr>
          <w:rFonts w:ascii="Times New Roman" w:hAnsi="Times New Roman"/>
          <w:i/>
          <w:iCs/>
        </w:rPr>
        <w:t>States</w:t>
      </w:r>
      <w:proofErr w:type="spellEnd"/>
      <w:r w:rsidRPr="003A1B10">
        <w:rPr>
          <w:rFonts w:ascii="Times New Roman" w:hAnsi="Times New Roman"/>
          <w:i/>
          <w:iCs/>
        </w:rPr>
        <w:t xml:space="preserve"> as a </w:t>
      </w:r>
      <w:proofErr w:type="spellStart"/>
      <w:r w:rsidRPr="003A1B10">
        <w:rPr>
          <w:rFonts w:ascii="Times New Roman" w:hAnsi="Times New Roman"/>
          <w:i/>
          <w:iCs/>
        </w:rPr>
        <w:t>Result</w:t>
      </w:r>
      <w:proofErr w:type="spellEnd"/>
      <w:r w:rsidRPr="003A1B10">
        <w:rPr>
          <w:rFonts w:ascii="Times New Roman" w:hAnsi="Times New Roman"/>
          <w:i/>
          <w:iCs/>
        </w:rPr>
        <w:t xml:space="preserve"> of </w:t>
      </w:r>
      <w:proofErr w:type="spellStart"/>
      <w:r w:rsidRPr="003A1B10">
        <w:rPr>
          <w:rFonts w:ascii="Times New Roman" w:hAnsi="Times New Roman"/>
          <w:i/>
          <w:iCs/>
        </w:rPr>
        <w:t>the</w:t>
      </w:r>
      <w:proofErr w:type="spellEnd"/>
      <w:r w:rsidRPr="003A1B10">
        <w:rPr>
          <w:rFonts w:ascii="Times New Roman" w:hAnsi="Times New Roman"/>
          <w:i/>
          <w:iCs/>
        </w:rPr>
        <w:t xml:space="preserve"> Covid-19 </w:t>
      </w:r>
      <w:proofErr w:type="spellStart"/>
      <w:r w:rsidRPr="003A1B10">
        <w:rPr>
          <w:rFonts w:ascii="Times New Roman" w:hAnsi="Times New Roman"/>
          <w:i/>
          <w:iCs/>
        </w:rPr>
        <w:t>Crisis</w:t>
      </w:r>
      <w:proofErr w:type="spellEnd"/>
      <w:r w:rsidRPr="003A1B10">
        <w:rPr>
          <w:rFonts w:ascii="Times New Roman" w:hAnsi="Times New Roman"/>
          <w:i/>
          <w:iCs/>
        </w:rPr>
        <w:t xml:space="preserve"> </w:t>
      </w:r>
      <w:proofErr w:type="spellStart"/>
      <w:r w:rsidRPr="003A1B10">
        <w:rPr>
          <w:rFonts w:ascii="Times New Roman" w:hAnsi="Times New Roman"/>
          <w:i/>
          <w:iCs/>
        </w:rPr>
        <w:t>and</w:t>
      </w:r>
      <w:proofErr w:type="spellEnd"/>
      <w:r w:rsidRPr="003A1B10">
        <w:rPr>
          <w:rFonts w:ascii="Times New Roman" w:hAnsi="Times New Roman"/>
          <w:i/>
          <w:iCs/>
        </w:rPr>
        <w:t xml:space="preserve"> </w:t>
      </w:r>
      <w:proofErr w:type="spellStart"/>
      <w:r w:rsidRPr="003A1B10">
        <w:rPr>
          <w:rFonts w:ascii="Times New Roman" w:hAnsi="Times New Roman"/>
          <w:i/>
          <w:iCs/>
        </w:rPr>
        <w:t>Their</w:t>
      </w:r>
      <w:proofErr w:type="spellEnd"/>
      <w:r w:rsidRPr="003A1B10">
        <w:rPr>
          <w:rFonts w:ascii="Times New Roman" w:hAnsi="Times New Roman"/>
          <w:i/>
          <w:iCs/>
        </w:rPr>
        <w:t xml:space="preserve"> </w:t>
      </w:r>
      <w:proofErr w:type="spellStart"/>
      <w:r w:rsidRPr="003A1B10">
        <w:rPr>
          <w:rFonts w:ascii="Times New Roman" w:hAnsi="Times New Roman"/>
          <w:i/>
          <w:iCs/>
        </w:rPr>
        <w:t>Impact</w:t>
      </w:r>
      <w:proofErr w:type="spellEnd"/>
      <w:r w:rsidRPr="003A1B10">
        <w:rPr>
          <w:rFonts w:ascii="Times New Roman" w:hAnsi="Times New Roman"/>
          <w:i/>
          <w:iCs/>
        </w:rPr>
        <w:t xml:space="preserve"> on </w:t>
      </w:r>
      <w:proofErr w:type="spellStart"/>
      <w:r w:rsidRPr="003A1B10">
        <w:rPr>
          <w:rFonts w:ascii="Times New Roman" w:hAnsi="Times New Roman"/>
          <w:i/>
          <w:iCs/>
        </w:rPr>
        <w:t>Democracy</w:t>
      </w:r>
      <w:proofErr w:type="spellEnd"/>
      <w:r w:rsidRPr="003A1B10">
        <w:rPr>
          <w:rFonts w:ascii="Times New Roman" w:hAnsi="Times New Roman"/>
          <w:i/>
          <w:iCs/>
        </w:rPr>
        <w:t xml:space="preserve">, </w:t>
      </w:r>
      <w:proofErr w:type="spellStart"/>
      <w:r w:rsidRPr="003A1B10">
        <w:rPr>
          <w:rFonts w:ascii="Times New Roman" w:hAnsi="Times New Roman"/>
          <w:i/>
          <w:iCs/>
        </w:rPr>
        <w:t>The</w:t>
      </w:r>
      <w:proofErr w:type="spellEnd"/>
      <w:r w:rsidRPr="003A1B10">
        <w:rPr>
          <w:rFonts w:ascii="Times New Roman" w:hAnsi="Times New Roman"/>
          <w:i/>
          <w:iCs/>
        </w:rPr>
        <w:t xml:space="preserve"> </w:t>
      </w:r>
      <w:proofErr w:type="spellStart"/>
      <w:r w:rsidRPr="003A1B10">
        <w:rPr>
          <w:rFonts w:ascii="Times New Roman" w:hAnsi="Times New Roman"/>
          <w:i/>
          <w:iCs/>
        </w:rPr>
        <w:t>Rule</w:t>
      </w:r>
      <w:proofErr w:type="spellEnd"/>
      <w:r w:rsidRPr="003A1B10">
        <w:rPr>
          <w:rFonts w:ascii="Times New Roman" w:hAnsi="Times New Roman"/>
          <w:i/>
          <w:iCs/>
        </w:rPr>
        <w:t xml:space="preserve"> of </w:t>
      </w:r>
      <w:proofErr w:type="spellStart"/>
      <w:r w:rsidRPr="003A1B10">
        <w:rPr>
          <w:rFonts w:ascii="Times New Roman" w:hAnsi="Times New Roman"/>
          <w:i/>
          <w:iCs/>
        </w:rPr>
        <w:t>Law</w:t>
      </w:r>
      <w:proofErr w:type="spellEnd"/>
      <w:r w:rsidRPr="003A1B10">
        <w:rPr>
          <w:rFonts w:ascii="Times New Roman" w:hAnsi="Times New Roman"/>
          <w:i/>
          <w:iCs/>
        </w:rPr>
        <w:t xml:space="preserve"> </w:t>
      </w:r>
      <w:proofErr w:type="spellStart"/>
      <w:r w:rsidRPr="003A1B10">
        <w:rPr>
          <w:rFonts w:ascii="Times New Roman" w:hAnsi="Times New Roman"/>
          <w:i/>
          <w:iCs/>
        </w:rPr>
        <w:t>and</w:t>
      </w:r>
      <w:proofErr w:type="spellEnd"/>
      <w:r w:rsidRPr="003A1B10">
        <w:rPr>
          <w:rFonts w:ascii="Times New Roman" w:hAnsi="Times New Roman"/>
          <w:i/>
          <w:iCs/>
        </w:rPr>
        <w:t xml:space="preserve"> </w:t>
      </w:r>
      <w:proofErr w:type="spellStart"/>
      <w:r w:rsidRPr="003A1B10">
        <w:rPr>
          <w:rFonts w:ascii="Times New Roman" w:hAnsi="Times New Roman"/>
          <w:i/>
          <w:iCs/>
        </w:rPr>
        <w:t>Fundamental</w:t>
      </w:r>
      <w:proofErr w:type="spellEnd"/>
      <w:r w:rsidRPr="003A1B10">
        <w:rPr>
          <w:rFonts w:ascii="Times New Roman" w:hAnsi="Times New Roman"/>
          <w:i/>
          <w:iCs/>
        </w:rPr>
        <w:t xml:space="preserve"> </w:t>
      </w:r>
      <w:proofErr w:type="spellStart"/>
      <w:r w:rsidRPr="003A1B10">
        <w:rPr>
          <w:rFonts w:ascii="Times New Roman" w:hAnsi="Times New Roman"/>
          <w:i/>
          <w:iCs/>
        </w:rPr>
        <w:t>Rights</w:t>
      </w:r>
      <w:proofErr w:type="spellEnd"/>
      <w:r w:rsidRPr="003A1B10">
        <w:rPr>
          <w:rFonts w:ascii="Times New Roman" w:hAnsi="Times New Roman"/>
          <w:i/>
          <w:iCs/>
        </w:rPr>
        <w:t>”</w:t>
      </w:r>
      <w:r w:rsidRPr="003A1B10">
        <w:rPr>
          <w:rFonts w:ascii="Times New Roman" w:hAnsi="Times New Roman"/>
        </w:rPr>
        <w:t>, CDL-AD (2020)018, 08.10.2020, s. 32.</w:t>
      </w:r>
    </w:p>
  </w:footnote>
  <w:footnote w:id="7">
    <w:p w14:paraId="2889F454" w14:textId="19A4C4CF"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i/>
          <w:iCs/>
        </w:rPr>
        <w:t>Ibid</w:t>
      </w:r>
      <w:proofErr w:type="spellEnd"/>
      <w:r w:rsidRPr="003A1B10">
        <w:rPr>
          <w:rFonts w:ascii="Times New Roman" w:hAnsi="Times New Roman"/>
        </w:rPr>
        <w:t>, s. 7.</w:t>
      </w:r>
    </w:p>
  </w:footnote>
  <w:footnote w:id="8">
    <w:p w14:paraId="51790A1A" w14:textId="13C4E80A"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i/>
          <w:iCs/>
        </w:rPr>
        <w:t>Ibid</w:t>
      </w:r>
      <w:proofErr w:type="spellEnd"/>
      <w:r w:rsidRPr="003A1B10">
        <w:rPr>
          <w:rFonts w:ascii="Times New Roman" w:hAnsi="Times New Roman"/>
        </w:rPr>
        <w:t>, s. 21-23.</w:t>
      </w:r>
    </w:p>
  </w:footnote>
  <w:footnote w:id="9">
    <w:p w14:paraId="30BB26FE" w14:textId="697512ED"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Hukukun politikaya araç olarak kullanılması ve bu yaklaşımın hukuk devleti ilkesine etkilerine ilişkin ayrıntılı bir çalışma için bkz. </w:t>
      </w:r>
      <w:proofErr w:type="spellStart"/>
      <w:r w:rsidRPr="003A1B10">
        <w:rPr>
          <w:rFonts w:ascii="Times New Roman" w:hAnsi="Times New Roman"/>
        </w:rPr>
        <w:t>Brian</w:t>
      </w:r>
      <w:proofErr w:type="spellEnd"/>
      <w:r w:rsidRPr="003A1B10">
        <w:rPr>
          <w:rFonts w:ascii="Times New Roman" w:hAnsi="Times New Roman"/>
        </w:rPr>
        <w:t xml:space="preserve"> Z. </w:t>
      </w:r>
      <w:proofErr w:type="spellStart"/>
      <w:r w:rsidRPr="003A1B10">
        <w:rPr>
          <w:rFonts w:ascii="Times New Roman" w:hAnsi="Times New Roman"/>
        </w:rPr>
        <w:t>Tamanaha</w:t>
      </w:r>
      <w:proofErr w:type="spellEnd"/>
      <w:r w:rsidRPr="003A1B10">
        <w:rPr>
          <w:rFonts w:ascii="Times New Roman" w:hAnsi="Times New Roman"/>
        </w:rPr>
        <w:t xml:space="preserve">, </w:t>
      </w:r>
      <w:proofErr w:type="spellStart"/>
      <w:r w:rsidRPr="003A1B10">
        <w:rPr>
          <w:rFonts w:ascii="Times New Roman" w:hAnsi="Times New Roman"/>
          <w:i/>
          <w:iCs/>
        </w:rPr>
        <w:t>Law</w:t>
      </w:r>
      <w:proofErr w:type="spellEnd"/>
      <w:r w:rsidRPr="003A1B10">
        <w:rPr>
          <w:rFonts w:ascii="Times New Roman" w:hAnsi="Times New Roman"/>
          <w:i/>
          <w:iCs/>
        </w:rPr>
        <w:t xml:space="preserve"> as a </w:t>
      </w:r>
      <w:proofErr w:type="spellStart"/>
      <w:r w:rsidRPr="003A1B10">
        <w:rPr>
          <w:rFonts w:ascii="Times New Roman" w:hAnsi="Times New Roman"/>
          <w:i/>
          <w:iCs/>
        </w:rPr>
        <w:t>Means</w:t>
      </w:r>
      <w:proofErr w:type="spellEnd"/>
      <w:r w:rsidRPr="003A1B10">
        <w:rPr>
          <w:rFonts w:ascii="Times New Roman" w:hAnsi="Times New Roman"/>
          <w:i/>
          <w:iCs/>
        </w:rPr>
        <w:t xml:space="preserve"> </w:t>
      </w:r>
      <w:proofErr w:type="spellStart"/>
      <w:r w:rsidRPr="003A1B10">
        <w:rPr>
          <w:rFonts w:ascii="Times New Roman" w:hAnsi="Times New Roman"/>
          <w:i/>
          <w:iCs/>
        </w:rPr>
        <w:t>to</w:t>
      </w:r>
      <w:proofErr w:type="spellEnd"/>
      <w:r w:rsidRPr="003A1B10">
        <w:rPr>
          <w:rFonts w:ascii="Times New Roman" w:hAnsi="Times New Roman"/>
          <w:i/>
          <w:iCs/>
        </w:rPr>
        <w:t xml:space="preserve"> an </w:t>
      </w:r>
      <w:proofErr w:type="spellStart"/>
      <w:r w:rsidRPr="003A1B10">
        <w:rPr>
          <w:rFonts w:ascii="Times New Roman" w:hAnsi="Times New Roman"/>
          <w:i/>
          <w:iCs/>
        </w:rPr>
        <w:t>End</w:t>
      </w:r>
      <w:proofErr w:type="spellEnd"/>
      <w:r w:rsidRPr="003A1B10">
        <w:rPr>
          <w:rFonts w:ascii="Times New Roman" w:hAnsi="Times New Roman"/>
          <w:i/>
          <w:iCs/>
        </w:rPr>
        <w:t xml:space="preserve">: </w:t>
      </w:r>
      <w:proofErr w:type="spellStart"/>
      <w:r w:rsidRPr="003A1B10">
        <w:rPr>
          <w:rFonts w:ascii="Times New Roman" w:hAnsi="Times New Roman"/>
          <w:i/>
          <w:iCs/>
        </w:rPr>
        <w:t>Threat</w:t>
      </w:r>
      <w:proofErr w:type="spellEnd"/>
      <w:r w:rsidRPr="003A1B10">
        <w:rPr>
          <w:rFonts w:ascii="Times New Roman" w:hAnsi="Times New Roman"/>
          <w:i/>
          <w:iCs/>
        </w:rPr>
        <w:t xml:space="preserve"> </w:t>
      </w:r>
      <w:proofErr w:type="spellStart"/>
      <w:r w:rsidRPr="003A1B10">
        <w:rPr>
          <w:rFonts w:ascii="Times New Roman" w:hAnsi="Times New Roman"/>
          <w:i/>
          <w:iCs/>
        </w:rPr>
        <w:t>to</w:t>
      </w:r>
      <w:proofErr w:type="spellEnd"/>
      <w:r w:rsidRPr="003A1B10">
        <w:rPr>
          <w:rFonts w:ascii="Times New Roman" w:hAnsi="Times New Roman"/>
          <w:i/>
          <w:iCs/>
        </w:rPr>
        <w:t xml:space="preserve"> </w:t>
      </w:r>
      <w:proofErr w:type="spellStart"/>
      <w:r w:rsidRPr="003A1B10">
        <w:rPr>
          <w:rFonts w:ascii="Times New Roman" w:hAnsi="Times New Roman"/>
          <w:i/>
          <w:iCs/>
        </w:rPr>
        <w:t>the</w:t>
      </w:r>
      <w:proofErr w:type="spellEnd"/>
      <w:r w:rsidRPr="003A1B10">
        <w:rPr>
          <w:rFonts w:ascii="Times New Roman" w:hAnsi="Times New Roman"/>
          <w:i/>
          <w:iCs/>
        </w:rPr>
        <w:t xml:space="preserve"> </w:t>
      </w:r>
      <w:proofErr w:type="spellStart"/>
      <w:r w:rsidRPr="003A1B10">
        <w:rPr>
          <w:rFonts w:ascii="Times New Roman" w:hAnsi="Times New Roman"/>
          <w:i/>
          <w:iCs/>
        </w:rPr>
        <w:t>Rule</w:t>
      </w:r>
      <w:proofErr w:type="spellEnd"/>
      <w:r w:rsidRPr="003A1B10">
        <w:rPr>
          <w:rFonts w:ascii="Times New Roman" w:hAnsi="Times New Roman"/>
          <w:i/>
          <w:iCs/>
        </w:rPr>
        <w:t xml:space="preserve"> of </w:t>
      </w:r>
      <w:proofErr w:type="spellStart"/>
      <w:r w:rsidRPr="003A1B10">
        <w:rPr>
          <w:rFonts w:ascii="Times New Roman" w:hAnsi="Times New Roman"/>
          <w:i/>
          <w:iCs/>
        </w:rPr>
        <w:t>Law</w:t>
      </w:r>
      <w:proofErr w:type="spellEnd"/>
      <w:r w:rsidRPr="003A1B10">
        <w:rPr>
          <w:rFonts w:ascii="Times New Roman" w:hAnsi="Times New Roman"/>
        </w:rPr>
        <w:t xml:space="preserve">, Cambridge </w:t>
      </w:r>
      <w:proofErr w:type="spellStart"/>
      <w:r w:rsidRPr="003A1B10">
        <w:rPr>
          <w:rFonts w:ascii="Times New Roman" w:hAnsi="Times New Roman"/>
        </w:rPr>
        <w:t>University</w:t>
      </w:r>
      <w:proofErr w:type="spellEnd"/>
      <w:r w:rsidRPr="003A1B10">
        <w:rPr>
          <w:rFonts w:ascii="Times New Roman" w:hAnsi="Times New Roman"/>
        </w:rPr>
        <w:t xml:space="preserve"> </w:t>
      </w:r>
      <w:proofErr w:type="spellStart"/>
      <w:r w:rsidRPr="003A1B10">
        <w:rPr>
          <w:rFonts w:ascii="Times New Roman" w:hAnsi="Times New Roman"/>
        </w:rPr>
        <w:t>Press</w:t>
      </w:r>
      <w:proofErr w:type="spellEnd"/>
      <w:r w:rsidRPr="003A1B10">
        <w:rPr>
          <w:rFonts w:ascii="Times New Roman" w:hAnsi="Times New Roman"/>
        </w:rPr>
        <w:t xml:space="preserve">, New York, 2006. </w:t>
      </w:r>
    </w:p>
  </w:footnote>
  <w:footnote w:id="10">
    <w:p w14:paraId="01F73F07" w14:textId="6A009322"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Bkz. </w:t>
      </w:r>
      <w:proofErr w:type="spellStart"/>
      <w:r w:rsidRPr="003A1B10">
        <w:rPr>
          <w:rFonts w:ascii="Times New Roman" w:hAnsi="Times New Roman"/>
        </w:rPr>
        <w:t>Marc</w:t>
      </w:r>
      <w:proofErr w:type="spellEnd"/>
      <w:r w:rsidRPr="003A1B10">
        <w:rPr>
          <w:rFonts w:ascii="Times New Roman" w:hAnsi="Times New Roman"/>
        </w:rPr>
        <w:t xml:space="preserve"> </w:t>
      </w:r>
      <w:proofErr w:type="spellStart"/>
      <w:r w:rsidRPr="003A1B10">
        <w:rPr>
          <w:rFonts w:ascii="Times New Roman" w:hAnsi="Times New Roman"/>
        </w:rPr>
        <w:t>Neocleous</w:t>
      </w:r>
      <w:proofErr w:type="spellEnd"/>
      <w:r w:rsidRPr="003A1B10">
        <w:rPr>
          <w:rFonts w:ascii="Times New Roman" w:hAnsi="Times New Roman"/>
        </w:rPr>
        <w:t>, “Norm-</w:t>
      </w:r>
      <w:proofErr w:type="spellStart"/>
      <w:r w:rsidRPr="003A1B10">
        <w:rPr>
          <w:rFonts w:ascii="Times New Roman" w:hAnsi="Times New Roman"/>
        </w:rPr>
        <w:t>aliteyle</w:t>
      </w:r>
      <w:proofErr w:type="spellEnd"/>
      <w:r w:rsidRPr="003A1B10">
        <w:rPr>
          <w:rFonts w:ascii="Times New Roman" w:hAnsi="Times New Roman"/>
        </w:rPr>
        <w:t xml:space="preserve"> İlgili Sorun ya da Kalıcı Olağanüstü Hâle İtiraz Etmek”, </w:t>
      </w:r>
      <w:proofErr w:type="spellStart"/>
      <w:r w:rsidRPr="003A1B10">
        <w:rPr>
          <w:rFonts w:ascii="Times New Roman" w:hAnsi="Times New Roman"/>
          <w:i/>
          <w:iCs/>
        </w:rPr>
        <w:t>Conatus</w:t>
      </w:r>
      <w:proofErr w:type="spellEnd"/>
      <w:r w:rsidRPr="003A1B10">
        <w:rPr>
          <w:rFonts w:ascii="Times New Roman" w:hAnsi="Times New Roman"/>
        </w:rPr>
        <w:t xml:space="preserve"> 6, Kasım 2006/Şubat 2006, s. 97. Modern hukuk devleti düzeninde olağanüstü hâl yetkilerinin, askeri kriz dönemleri gibi istisna hâli koşullarıyla sınırlı tutulamayacağına ve hukuk düzeninin olağan koşullarında da sıklıkla başvurulan siyasal bir araç niteliğinde olduğuna ilişkin ayrıntılı bir çalışma için bkz. Salih </w:t>
      </w:r>
      <w:proofErr w:type="spellStart"/>
      <w:r w:rsidRPr="003A1B10">
        <w:rPr>
          <w:rFonts w:ascii="Times New Roman" w:hAnsi="Times New Roman"/>
        </w:rPr>
        <w:t>Akkanat</w:t>
      </w:r>
      <w:proofErr w:type="spellEnd"/>
      <w:r w:rsidRPr="003A1B10">
        <w:rPr>
          <w:rFonts w:ascii="Times New Roman" w:hAnsi="Times New Roman"/>
        </w:rPr>
        <w:t xml:space="preserve">, “Güvenlik Siyasetini Aşmak: İstisna ve Hukuk İlişkisi Üzerine Bir Tartışma”, </w:t>
      </w:r>
      <w:r w:rsidRPr="003A1B10">
        <w:rPr>
          <w:rFonts w:ascii="Times New Roman" w:hAnsi="Times New Roman"/>
          <w:i/>
          <w:iCs/>
        </w:rPr>
        <w:t>AÜSBF Dergisi</w:t>
      </w:r>
      <w:r w:rsidRPr="003A1B10">
        <w:rPr>
          <w:rFonts w:ascii="Times New Roman" w:hAnsi="Times New Roman"/>
        </w:rPr>
        <w:t xml:space="preserve"> 69/2, 2014, s. 279-307.</w:t>
      </w:r>
    </w:p>
  </w:footnote>
  <w:footnote w:id="11">
    <w:p w14:paraId="3F127F98" w14:textId="1A2C3543"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Bkz. Olağanüstü hâle ilişkin anayasal veya yasal düzenlemeler ile Covid-19 </w:t>
      </w:r>
      <w:proofErr w:type="spellStart"/>
      <w:r w:rsidRPr="003A1B10">
        <w:rPr>
          <w:rFonts w:ascii="Times New Roman" w:hAnsi="Times New Roman"/>
        </w:rPr>
        <w:t>pandemisi</w:t>
      </w:r>
      <w:proofErr w:type="spellEnd"/>
      <w:r w:rsidRPr="003A1B10">
        <w:rPr>
          <w:rFonts w:ascii="Times New Roman" w:hAnsi="Times New Roman"/>
        </w:rPr>
        <w:t xml:space="preserve"> sürecinde olağanüstü hâl ilan eden ülkeler ve söz konusu hukuki düzenlemeleri için bkz. </w:t>
      </w:r>
      <w:proofErr w:type="spellStart"/>
      <w:r w:rsidRPr="003A1B10">
        <w:rPr>
          <w:rFonts w:ascii="Times New Roman" w:hAnsi="Times New Roman"/>
        </w:rPr>
        <w:t>Venice</w:t>
      </w:r>
      <w:proofErr w:type="spellEnd"/>
      <w:r w:rsidRPr="003A1B10">
        <w:rPr>
          <w:rFonts w:ascii="Times New Roman" w:hAnsi="Times New Roman"/>
        </w:rPr>
        <w:t xml:space="preserve"> </w:t>
      </w:r>
      <w:proofErr w:type="spellStart"/>
      <w:r w:rsidRPr="003A1B10">
        <w:rPr>
          <w:rFonts w:ascii="Times New Roman" w:hAnsi="Times New Roman"/>
        </w:rPr>
        <w:t>Commission</w:t>
      </w:r>
      <w:proofErr w:type="spellEnd"/>
      <w:r w:rsidRPr="003A1B10">
        <w:rPr>
          <w:rFonts w:ascii="Times New Roman" w:hAnsi="Times New Roman"/>
        </w:rPr>
        <w:t xml:space="preserve">, </w:t>
      </w:r>
      <w:r w:rsidRPr="003A1B10">
        <w:rPr>
          <w:rFonts w:ascii="Times New Roman" w:hAnsi="Times New Roman"/>
          <w:i/>
          <w:iCs/>
        </w:rPr>
        <w:t xml:space="preserve">“On </w:t>
      </w:r>
      <w:proofErr w:type="spellStart"/>
      <w:r w:rsidRPr="003A1B10">
        <w:rPr>
          <w:rFonts w:ascii="Times New Roman" w:hAnsi="Times New Roman"/>
          <w:i/>
          <w:iCs/>
        </w:rPr>
        <w:t>the</w:t>
      </w:r>
      <w:proofErr w:type="spellEnd"/>
      <w:r w:rsidRPr="003A1B10">
        <w:rPr>
          <w:rFonts w:ascii="Times New Roman" w:hAnsi="Times New Roman"/>
          <w:i/>
          <w:iCs/>
        </w:rPr>
        <w:t xml:space="preserve"> </w:t>
      </w:r>
      <w:proofErr w:type="spellStart"/>
      <w:r w:rsidRPr="003A1B10">
        <w:rPr>
          <w:rFonts w:ascii="Times New Roman" w:hAnsi="Times New Roman"/>
          <w:i/>
          <w:iCs/>
        </w:rPr>
        <w:t>Measures</w:t>
      </w:r>
      <w:proofErr w:type="spellEnd"/>
      <w:r w:rsidRPr="003A1B10">
        <w:rPr>
          <w:rFonts w:ascii="Times New Roman" w:hAnsi="Times New Roman"/>
          <w:i/>
          <w:iCs/>
        </w:rPr>
        <w:t xml:space="preserve"> </w:t>
      </w:r>
      <w:proofErr w:type="spellStart"/>
      <w:r w:rsidRPr="003A1B10">
        <w:rPr>
          <w:rFonts w:ascii="Times New Roman" w:hAnsi="Times New Roman"/>
          <w:i/>
          <w:iCs/>
        </w:rPr>
        <w:t>Taken</w:t>
      </w:r>
      <w:proofErr w:type="spellEnd"/>
      <w:r w:rsidRPr="003A1B10">
        <w:rPr>
          <w:rFonts w:ascii="Times New Roman" w:hAnsi="Times New Roman"/>
          <w:i/>
          <w:iCs/>
        </w:rPr>
        <w:t xml:space="preserve"> in </w:t>
      </w:r>
      <w:proofErr w:type="spellStart"/>
      <w:r w:rsidRPr="003A1B10">
        <w:rPr>
          <w:rFonts w:ascii="Times New Roman" w:hAnsi="Times New Roman"/>
          <w:i/>
          <w:iCs/>
        </w:rPr>
        <w:t>the</w:t>
      </w:r>
      <w:proofErr w:type="spellEnd"/>
      <w:r w:rsidRPr="003A1B10">
        <w:rPr>
          <w:rFonts w:ascii="Times New Roman" w:hAnsi="Times New Roman"/>
          <w:i/>
          <w:iCs/>
        </w:rPr>
        <w:t xml:space="preserve"> EU </w:t>
      </w:r>
      <w:proofErr w:type="spellStart"/>
      <w:r w:rsidRPr="003A1B10">
        <w:rPr>
          <w:rFonts w:ascii="Times New Roman" w:hAnsi="Times New Roman"/>
          <w:i/>
          <w:iCs/>
        </w:rPr>
        <w:t>Member</w:t>
      </w:r>
      <w:proofErr w:type="spellEnd"/>
      <w:r w:rsidRPr="003A1B10">
        <w:rPr>
          <w:rFonts w:ascii="Times New Roman" w:hAnsi="Times New Roman"/>
          <w:i/>
          <w:iCs/>
        </w:rPr>
        <w:t xml:space="preserve"> </w:t>
      </w:r>
      <w:proofErr w:type="spellStart"/>
      <w:r w:rsidRPr="003A1B10">
        <w:rPr>
          <w:rFonts w:ascii="Times New Roman" w:hAnsi="Times New Roman"/>
          <w:i/>
          <w:iCs/>
        </w:rPr>
        <w:t>States</w:t>
      </w:r>
      <w:proofErr w:type="spellEnd"/>
      <w:r w:rsidRPr="003A1B10">
        <w:rPr>
          <w:rFonts w:ascii="Times New Roman" w:hAnsi="Times New Roman"/>
          <w:i/>
          <w:iCs/>
        </w:rPr>
        <w:t xml:space="preserve"> as a </w:t>
      </w:r>
      <w:proofErr w:type="spellStart"/>
      <w:r w:rsidRPr="003A1B10">
        <w:rPr>
          <w:rFonts w:ascii="Times New Roman" w:hAnsi="Times New Roman"/>
          <w:i/>
          <w:iCs/>
        </w:rPr>
        <w:t>Result</w:t>
      </w:r>
      <w:proofErr w:type="spellEnd"/>
      <w:r w:rsidRPr="003A1B10">
        <w:rPr>
          <w:rFonts w:ascii="Times New Roman" w:hAnsi="Times New Roman"/>
          <w:i/>
          <w:iCs/>
        </w:rPr>
        <w:t xml:space="preserve"> of </w:t>
      </w:r>
      <w:proofErr w:type="spellStart"/>
      <w:r w:rsidRPr="003A1B10">
        <w:rPr>
          <w:rFonts w:ascii="Times New Roman" w:hAnsi="Times New Roman"/>
          <w:i/>
          <w:iCs/>
        </w:rPr>
        <w:t>the</w:t>
      </w:r>
      <w:proofErr w:type="spellEnd"/>
      <w:r w:rsidRPr="003A1B10">
        <w:rPr>
          <w:rFonts w:ascii="Times New Roman" w:hAnsi="Times New Roman"/>
          <w:i/>
          <w:iCs/>
        </w:rPr>
        <w:t xml:space="preserve"> Covid-19 </w:t>
      </w:r>
      <w:proofErr w:type="spellStart"/>
      <w:r w:rsidRPr="003A1B10">
        <w:rPr>
          <w:rFonts w:ascii="Times New Roman" w:hAnsi="Times New Roman"/>
          <w:i/>
          <w:iCs/>
        </w:rPr>
        <w:t>Crisis</w:t>
      </w:r>
      <w:proofErr w:type="spellEnd"/>
      <w:r w:rsidRPr="003A1B10">
        <w:rPr>
          <w:rFonts w:ascii="Times New Roman" w:hAnsi="Times New Roman"/>
          <w:i/>
          <w:iCs/>
        </w:rPr>
        <w:t xml:space="preserve"> </w:t>
      </w:r>
      <w:proofErr w:type="spellStart"/>
      <w:r w:rsidRPr="003A1B10">
        <w:rPr>
          <w:rFonts w:ascii="Times New Roman" w:hAnsi="Times New Roman"/>
          <w:i/>
          <w:iCs/>
        </w:rPr>
        <w:t>and</w:t>
      </w:r>
      <w:proofErr w:type="spellEnd"/>
      <w:r w:rsidRPr="003A1B10">
        <w:rPr>
          <w:rFonts w:ascii="Times New Roman" w:hAnsi="Times New Roman"/>
          <w:i/>
          <w:iCs/>
        </w:rPr>
        <w:t xml:space="preserve"> </w:t>
      </w:r>
      <w:proofErr w:type="spellStart"/>
      <w:r w:rsidRPr="003A1B10">
        <w:rPr>
          <w:rFonts w:ascii="Times New Roman" w:hAnsi="Times New Roman"/>
          <w:i/>
          <w:iCs/>
        </w:rPr>
        <w:t>Their</w:t>
      </w:r>
      <w:proofErr w:type="spellEnd"/>
      <w:r w:rsidRPr="003A1B10">
        <w:rPr>
          <w:rFonts w:ascii="Times New Roman" w:hAnsi="Times New Roman"/>
          <w:i/>
          <w:iCs/>
        </w:rPr>
        <w:t xml:space="preserve"> </w:t>
      </w:r>
      <w:proofErr w:type="spellStart"/>
      <w:r w:rsidRPr="003A1B10">
        <w:rPr>
          <w:rFonts w:ascii="Times New Roman" w:hAnsi="Times New Roman"/>
          <w:i/>
          <w:iCs/>
        </w:rPr>
        <w:t>Impact</w:t>
      </w:r>
      <w:proofErr w:type="spellEnd"/>
      <w:r w:rsidRPr="003A1B10">
        <w:rPr>
          <w:rFonts w:ascii="Times New Roman" w:hAnsi="Times New Roman"/>
          <w:i/>
          <w:iCs/>
        </w:rPr>
        <w:t xml:space="preserve"> on </w:t>
      </w:r>
      <w:proofErr w:type="spellStart"/>
      <w:r w:rsidRPr="003A1B10">
        <w:rPr>
          <w:rFonts w:ascii="Times New Roman" w:hAnsi="Times New Roman"/>
          <w:i/>
          <w:iCs/>
        </w:rPr>
        <w:t>Democracy</w:t>
      </w:r>
      <w:proofErr w:type="spellEnd"/>
      <w:r w:rsidRPr="003A1B10">
        <w:rPr>
          <w:rFonts w:ascii="Times New Roman" w:hAnsi="Times New Roman"/>
          <w:i/>
          <w:iCs/>
        </w:rPr>
        <w:t xml:space="preserve">, </w:t>
      </w:r>
      <w:proofErr w:type="spellStart"/>
      <w:r w:rsidRPr="003A1B10">
        <w:rPr>
          <w:rFonts w:ascii="Times New Roman" w:hAnsi="Times New Roman"/>
          <w:i/>
          <w:iCs/>
        </w:rPr>
        <w:t>The</w:t>
      </w:r>
      <w:proofErr w:type="spellEnd"/>
      <w:r w:rsidRPr="003A1B10">
        <w:rPr>
          <w:rFonts w:ascii="Times New Roman" w:hAnsi="Times New Roman"/>
          <w:i/>
          <w:iCs/>
        </w:rPr>
        <w:t xml:space="preserve"> </w:t>
      </w:r>
      <w:proofErr w:type="spellStart"/>
      <w:r w:rsidRPr="003A1B10">
        <w:rPr>
          <w:rFonts w:ascii="Times New Roman" w:hAnsi="Times New Roman"/>
          <w:i/>
          <w:iCs/>
        </w:rPr>
        <w:t>Rule</w:t>
      </w:r>
      <w:proofErr w:type="spellEnd"/>
      <w:r w:rsidRPr="003A1B10">
        <w:rPr>
          <w:rFonts w:ascii="Times New Roman" w:hAnsi="Times New Roman"/>
          <w:i/>
          <w:iCs/>
        </w:rPr>
        <w:t xml:space="preserve"> of </w:t>
      </w:r>
      <w:proofErr w:type="spellStart"/>
      <w:r w:rsidRPr="003A1B10">
        <w:rPr>
          <w:rFonts w:ascii="Times New Roman" w:hAnsi="Times New Roman"/>
          <w:i/>
          <w:iCs/>
        </w:rPr>
        <w:t>Law</w:t>
      </w:r>
      <w:proofErr w:type="spellEnd"/>
      <w:r w:rsidRPr="003A1B10">
        <w:rPr>
          <w:rFonts w:ascii="Times New Roman" w:hAnsi="Times New Roman"/>
          <w:i/>
          <w:iCs/>
        </w:rPr>
        <w:t xml:space="preserve"> </w:t>
      </w:r>
      <w:proofErr w:type="spellStart"/>
      <w:r w:rsidRPr="003A1B10">
        <w:rPr>
          <w:rFonts w:ascii="Times New Roman" w:hAnsi="Times New Roman"/>
          <w:i/>
          <w:iCs/>
        </w:rPr>
        <w:t>and</w:t>
      </w:r>
      <w:proofErr w:type="spellEnd"/>
      <w:r w:rsidRPr="003A1B10">
        <w:rPr>
          <w:rFonts w:ascii="Times New Roman" w:hAnsi="Times New Roman"/>
          <w:i/>
          <w:iCs/>
        </w:rPr>
        <w:t xml:space="preserve"> </w:t>
      </w:r>
      <w:proofErr w:type="spellStart"/>
      <w:r w:rsidRPr="003A1B10">
        <w:rPr>
          <w:rFonts w:ascii="Times New Roman" w:hAnsi="Times New Roman"/>
          <w:i/>
          <w:iCs/>
        </w:rPr>
        <w:t>Fundamental</w:t>
      </w:r>
      <w:proofErr w:type="spellEnd"/>
      <w:r w:rsidRPr="003A1B10">
        <w:rPr>
          <w:rFonts w:ascii="Times New Roman" w:hAnsi="Times New Roman"/>
          <w:i/>
          <w:iCs/>
        </w:rPr>
        <w:t xml:space="preserve"> </w:t>
      </w:r>
      <w:proofErr w:type="spellStart"/>
      <w:r w:rsidRPr="003A1B10">
        <w:rPr>
          <w:rFonts w:ascii="Times New Roman" w:hAnsi="Times New Roman"/>
          <w:i/>
          <w:iCs/>
        </w:rPr>
        <w:t>Rights</w:t>
      </w:r>
      <w:proofErr w:type="spellEnd"/>
      <w:r w:rsidRPr="003A1B10">
        <w:rPr>
          <w:rFonts w:ascii="Times New Roman" w:hAnsi="Times New Roman"/>
          <w:i/>
          <w:iCs/>
        </w:rPr>
        <w:t>”</w:t>
      </w:r>
      <w:r w:rsidRPr="003A1B10">
        <w:rPr>
          <w:rFonts w:ascii="Times New Roman" w:hAnsi="Times New Roman"/>
        </w:rPr>
        <w:t>, CDL-AD (2020)018, 08.10.2020, s. 10, 13.</w:t>
      </w:r>
    </w:p>
  </w:footnote>
  <w:footnote w:id="12">
    <w:p w14:paraId="34F733C6" w14:textId="0AD5596C"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Bkz. </w:t>
      </w:r>
      <w:proofErr w:type="spellStart"/>
      <w:r w:rsidRPr="003A1B10">
        <w:rPr>
          <w:rFonts w:ascii="Times New Roman" w:hAnsi="Times New Roman"/>
        </w:rPr>
        <w:t>Proclamation</w:t>
      </w:r>
      <w:proofErr w:type="spellEnd"/>
      <w:r w:rsidRPr="003A1B10">
        <w:rPr>
          <w:rFonts w:ascii="Times New Roman" w:hAnsi="Times New Roman"/>
        </w:rPr>
        <w:t xml:space="preserve"> 9994 of </w:t>
      </w:r>
      <w:proofErr w:type="spellStart"/>
      <w:r w:rsidRPr="003A1B10">
        <w:rPr>
          <w:rFonts w:ascii="Times New Roman" w:hAnsi="Times New Roman"/>
        </w:rPr>
        <w:t>March</w:t>
      </w:r>
      <w:proofErr w:type="spellEnd"/>
      <w:r w:rsidRPr="003A1B10">
        <w:rPr>
          <w:rFonts w:ascii="Times New Roman" w:hAnsi="Times New Roman"/>
        </w:rPr>
        <w:t xml:space="preserve"> 13, 2020, </w:t>
      </w:r>
      <w:proofErr w:type="spellStart"/>
      <w:r w:rsidRPr="003A1B10">
        <w:rPr>
          <w:rFonts w:ascii="Times New Roman" w:hAnsi="Times New Roman"/>
          <w:i/>
          <w:iCs/>
        </w:rPr>
        <w:t>Declaring</w:t>
      </w:r>
      <w:proofErr w:type="spellEnd"/>
      <w:r w:rsidRPr="003A1B10">
        <w:rPr>
          <w:rFonts w:ascii="Times New Roman" w:hAnsi="Times New Roman"/>
          <w:i/>
          <w:iCs/>
        </w:rPr>
        <w:t xml:space="preserve"> a </w:t>
      </w:r>
      <w:proofErr w:type="spellStart"/>
      <w:r w:rsidRPr="003A1B10">
        <w:rPr>
          <w:rFonts w:ascii="Times New Roman" w:hAnsi="Times New Roman"/>
          <w:i/>
          <w:iCs/>
        </w:rPr>
        <w:t>National</w:t>
      </w:r>
      <w:proofErr w:type="spellEnd"/>
      <w:r w:rsidRPr="003A1B10">
        <w:rPr>
          <w:rFonts w:ascii="Times New Roman" w:hAnsi="Times New Roman"/>
          <w:i/>
          <w:iCs/>
        </w:rPr>
        <w:t xml:space="preserve"> </w:t>
      </w:r>
      <w:proofErr w:type="spellStart"/>
      <w:r w:rsidRPr="003A1B10">
        <w:rPr>
          <w:rFonts w:ascii="Times New Roman" w:hAnsi="Times New Roman"/>
          <w:i/>
          <w:iCs/>
        </w:rPr>
        <w:t>Emergency</w:t>
      </w:r>
      <w:proofErr w:type="spellEnd"/>
      <w:r w:rsidRPr="003A1B10">
        <w:rPr>
          <w:rFonts w:ascii="Times New Roman" w:hAnsi="Times New Roman"/>
          <w:i/>
          <w:iCs/>
        </w:rPr>
        <w:t xml:space="preserve"> </w:t>
      </w:r>
      <w:proofErr w:type="spellStart"/>
      <w:r w:rsidRPr="003A1B10">
        <w:rPr>
          <w:rFonts w:ascii="Times New Roman" w:hAnsi="Times New Roman"/>
          <w:i/>
          <w:iCs/>
        </w:rPr>
        <w:t>Concerning</w:t>
      </w:r>
      <w:proofErr w:type="spellEnd"/>
      <w:r w:rsidRPr="003A1B10">
        <w:rPr>
          <w:rFonts w:ascii="Times New Roman" w:hAnsi="Times New Roman"/>
          <w:i/>
          <w:iCs/>
        </w:rPr>
        <w:t xml:space="preserve"> </w:t>
      </w:r>
      <w:proofErr w:type="spellStart"/>
      <w:r w:rsidRPr="003A1B10">
        <w:rPr>
          <w:rFonts w:ascii="Times New Roman" w:hAnsi="Times New Roman"/>
          <w:i/>
          <w:iCs/>
        </w:rPr>
        <w:t>the</w:t>
      </w:r>
      <w:proofErr w:type="spellEnd"/>
      <w:r w:rsidRPr="003A1B10">
        <w:rPr>
          <w:rFonts w:ascii="Times New Roman" w:hAnsi="Times New Roman"/>
          <w:i/>
          <w:iCs/>
        </w:rPr>
        <w:t xml:space="preserve"> </w:t>
      </w:r>
      <w:proofErr w:type="spellStart"/>
      <w:r w:rsidRPr="003A1B10">
        <w:rPr>
          <w:rFonts w:ascii="Times New Roman" w:hAnsi="Times New Roman"/>
          <w:i/>
          <w:iCs/>
        </w:rPr>
        <w:t>Novel</w:t>
      </w:r>
      <w:proofErr w:type="spellEnd"/>
      <w:r w:rsidRPr="003A1B10">
        <w:rPr>
          <w:rFonts w:ascii="Times New Roman" w:hAnsi="Times New Roman"/>
          <w:i/>
          <w:iCs/>
        </w:rPr>
        <w:t xml:space="preserve"> </w:t>
      </w:r>
      <w:proofErr w:type="spellStart"/>
      <w:r w:rsidRPr="003A1B10">
        <w:rPr>
          <w:rFonts w:ascii="Times New Roman" w:hAnsi="Times New Roman"/>
          <w:i/>
          <w:iCs/>
        </w:rPr>
        <w:t>Coronavirus</w:t>
      </w:r>
      <w:proofErr w:type="spellEnd"/>
      <w:r w:rsidRPr="003A1B10">
        <w:rPr>
          <w:rFonts w:ascii="Times New Roman" w:hAnsi="Times New Roman"/>
          <w:i/>
          <w:iCs/>
        </w:rPr>
        <w:t xml:space="preserve"> </w:t>
      </w:r>
      <w:proofErr w:type="spellStart"/>
      <w:r w:rsidRPr="003A1B10">
        <w:rPr>
          <w:rFonts w:ascii="Times New Roman" w:hAnsi="Times New Roman"/>
          <w:i/>
          <w:iCs/>
        </w:rPr>
        <w:t>Disease</w:t>
      </w:r>
      <w:proofErr w:type="spellEnd"/>
      <w:r w:rsidRPr="003A1B10">
        <w:rPr>
          <w:rFonts w:ascii="Times New Roman" w:hAnsi="Times New Roman"/>
          <w:i/>
          <w:iCs/>
        </w:rPr>
        <w:t xml:space="preserve"> (COVID–19) </w:t>
      </w:r>
      <w:proofErr w:type="spellStart"/>
      <w:r w:rsidRPr="003A1B10">
        <w:rPr>
          <w:rFonts w:ascii="Times New Roman" w:hAnsi="Times New Roman"/>
          <w:i/>
          <w:iCs/>
        </w:rPr>
        <w:t>Outbreak</w:t>
      </w:r>
      <w:proofErr w:type="spellEnd"/>
      <w:r w:rsidRPr="003A1B10">
        <w:rPr>
          <w:rFonts w:ascii="Times New Roman" w:hAnsi="Times New Roman"/>
        </w:rPr>
        <w:t xml:space="preserve">, </w:t>
      </w:r>
      <w:hyperlink r:id="rId5" w:history="1">
        <w:r w:rsidRPr="003A1B10">
          <w:rPr>
            <w:rStyle w:val="Hyperlink"/>
            <w:rFonts w:ascii="Times New Roman" w:hAnsi="Times New Roman"/>
            <w:color w:val="auto"/>
            <w:u w:val="none"/>
          </w:rPr>
          <w:t>https://www.govinfo.gov/content/pkg/FR-2020-03-18/pdf/2020-05794.pdf</w:t>
        </w:r>
      </w:hyperlink>
      <w:r w:rsidRPr="003A1B10">
        <w:rPr>
          <w:rFonts w:ascii="Times New Roman" w:hAnsi="Times New Roman"/>
        </w:rPr>
        <w:t>, e.t. 13.10.2020.</w:t>
      </w:r>
    </w:p>
  </w:footnote>
  <w:footnote w:id="13">
    <w:p w14:paraId="04F724F2" w14:textId="0F3CA7A6"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Laura </w:t>
      </w:r>
      <w:proofErr w:type="spellStart"/>
      <w:r w:rsidRPr="003A1B10">
        <w:rPr>
          <w:rFonts w:ascii="Times New Roman" w:hAnsi="Times New Roman"/>
        </w:rPr>
        <w:t>Hering</w:t>
      </w:r>
      <w:proofErr w:type="spellEnd"/>
      <w:r w:rsidRPr="003A1B10">
        <w:rPr>
          <w:rFonts w:ascii="Times New Roman" w:hAnsi="Times New Roman"/>
        </w:rPr>
        <w:t xml:space="preserve">, “Covid-19 </w:t>
      </w:r>
      <w:proofErr w:type="spellStart"/>
      <w:r w:rsidRPr="003A1B10">
        <w:rPr>
          <w:rFonts w:ascii="Times New Roman" w:hAnsi="Times New Roman"/>
        </w:rPr>
        <w:t>and</w:t>
      </w:r>
      <w:proofErr w:type="spellEnd"/>
      <w:r w:rsidRPr="003A1B10">
        <w:rPr>
          <w:rFonts w:ascii="Times New Roman" w:hAnsi="Times New Roman"/>
        </w:rPr>
        <w:t xml:space="preserve"> </w:t>
      </w:r>
      <w:proofErr w:type="spellStart"/>
      <w:r w:rsidRPr="003A1B10">
        <w:rPr>
          <w:rFonts w:ascii="Times New Roman" w:hAnsi="Times New Roman"/>
        </w:rPr>
        <w:t>Constitutional</w:t>
      </w:r>
      <w:proofErr w:type="spellEnd"/>
      <w:r w:rsidRPr="003A1B10">
        <w:rPr>
          <w:rFonts w:ascii="Times New Roman" w:hAnsi="Times New Roman"/>
        </w:rPr>
        <w:t xml:space="preserve"> </w:t>
      </w:r>
      <w:proofErr w:type="spellStart"/>
      <w:r w:rsidRPr="003A1B10">
        <w:rPr>
          <w:rFonts w:ascii="Times New Roman" w:hAnsi="Times New Roman"/>
        </w:rPr>
        <w:t>Law</w:t>
      </w:r>
      <w:proofErr w:type="spellEnd"/>
      <w:r w:rsidRPr="003A1B10">
        <w:rPr>
          <w:rFonts w:ascii="Times New Roman" w:hAnsi="Times New Roman"/>
        </w:rPr>
        <w:t xml:space="preserve">: </w:t>
      </w:r>
      <w:proofErr w:type="spellStart"/>
      <w:r w:rsidRPr="003A1B10">
        <w:rPr>
          <w:rFonts w:ascii="Times New Roman" w:hAnsi="Times New Roman"/>
        </w:rPr>
        <w:t>The</w:t>
      </w:r>
      <w:proofErr w:type="spellEnd"/>
      <w:r w:rsidRPr="003A1B10">
        <w:rPr>
          <w:rFonts w:ascii="Times New Roman" w:hAnsi="Times New Roman"/>
        </w:rPr>
        <w:t xml:space="preserve"> Case of Germany”, </w:t>
      </w:r>
      <w:r w:rsidRPr="003A1B10">
        <w:rPr>
          <w:rFonts w:ascii="Times New Roman" w:hAnsi="Times New Roman"/>
          <w:i/>
          <w:iCs/>
        </w:rPr>
        <w:t xml:space="preserve">Covid-19 </w:t>
      </w:r>
      <w:proofErr w:type="spellStart"/>
      <w:r w:rsidRPr="003A1B10">
        <w:rPr>
          <w:rFonts w:ascii="Times New Roman" w:hAnsi="Times New Roman"/>
          <w:i/>
          <w:iCs/>
        </w:rPr>
        <w:t>and</w:t>
      </w:r>
      <w:proofErr w:type="spellEnd"/>
      <w:r w:rsidRPr="003A1B10">
        <w:rPr>
          <w:rFonts w:ascii="Times New Roman" w:hAnsi="Times New Roman"/>
          <w:i/>
          <w:iCs/>
        </w:rPr>
        <w:t xml:space="preserve"> </w:t>
      </w:r>
      <w:proofErr w:type="spellStart"/>
      <w:r w:rsidRPr="003A1B10">
        <w:rPr>
          <w:rFonts w:ascii="Times New Roman" w:hAnsi="Times New Roman"/>
          <w:i/>
          <w:iCs/>
        </w:rPr>
        <w:t>Constitutional</w:t>
      </w:r>
      <w:proofErr w:type="spellEnd"/>
      <w:r w:rsidRPr="003A1B10">
        <w:rPr>
          <w:rFonts w:ascii="Times New Roman" w:hAnsi="Times New Roman"/>
          <w:i/>
          <w:iCs/>
        </w:rPr>
        <w:t xml:space="preserve"> </w:t>
      </w:r>
      <w:proofErr w:type="spellStart"/>
      <w:r w:rsidRPr="003A1B10">
        <w:rPr>
          <w:rFonts w:ascii="Times New Roman" w:hAnsi="Times New Roman"/>
          <w:i/>
          <w:iCs/>
        </w:rPr>
        <w:t>Law</w:t>
      </w:r>
      <w:proofErr w:type="spellEnd"/>
      <w:r w:rsidRPr="003A1B10">
        <w:rPr>
          <w:rFonts w:ascii="Times New Roman" w:hAnsi="Times New Roman"/>
        </w:rPr>
        <w:t xml:space="preserve"> (ed. </w:t>
      </w:r>
      <w:proofErr w:type="spellStart"/>
      <w:r w:rsidRPr="003A1B10">
        <w:rPr>
          <w:rFonts w:ascii="Times New Roman" w:hAnsi="Times New Roman"/>
        </w:rPr>
        <w:t>Serna</w:t>
      </w:r>
      <w:proofErr w:type="spellEnd"/>
      <w:r w:rsidRPr="003A1B10">
        <w:rPr>
          <w:rFonts w:ascii="Times New Roman" w:hAnsi="Times New Roman"/>
        </w:rPr>
        <w:t xml:space="preserve"> de la </w:t>
      </w:r>
      <w:proofErr w:type="spellStart"/>
      <w:r w:rsidRPr="003A1B10">
        <w:rPr>
          <w:rFonts w:ascii="Times New Roman" w:hAnsi="Times New Roman"/>
        </w:rPr>
        <w:t>Garza</w:t>
      </w:r>
      <w:proofErr w:type="spellEnd"/>
      <w:r w:rsidRPr="003A1B10">
        <w:rPr>
          <w:rFonts w:ascii="Times New Roman" w:hAnsi="Times New Roman"/>
        </w:rPr>
        <w:t xml:space="preserve">, </w:t>
      </w:r>
      <w:proofErr w:type="spellStart"/>
      <w:r w:rsidRPr="003A1B10">
        <w:rPr>
          <w:rFonts w:ascii="Times New Roman" w:hAnsi="Times New Roman"/>
        </w:rPr>
        <w:t>José</w:t>
      </w:r>
      <w:proofErr w:type="spellEnd"/>
      <w:r w:rsidRPr="003A1B10">
        <w:rPr>
          <w:rFonts w:ascii="Times New Roman" w:hAnsi="Times New Roman"/>
        </w:rPr>
        <w:t xml:space="preserve"> </w:t>
      </w:r>
      <w:proofErr w:type="spellStart"/>
      <w:r w:rsidRPr="003A1B10">
        <w:rPr>
          <w:rFonts w:ascii="Times New Roman" w:hAnsi="Times New Roman"/>
        </w:rPr>
        <w:t>María</w:t>
      </w:r>
      <w:proofErr w:type="spellEnd"/>
      <w:r w:rsidRPr="003A1B10">
        <w:rPr>
          <w:rFonts w:ascii="Times New Roman" w:hAnsi="Times New Roman"/>
        </w:rPr>
        <w:t xml:space="preserve">), </w:t>
      </w:r>
      <w:proofErr w:type="spellStart"/>
      <w:r w:rsidRPr="003A1B10">
        <w:rPr>
          <w:rFonts w:ascii="Times New Roman" w:hAnsi="Times New Roman"/>
        </w:rPr>
        <w:t>Instituto</w:t>
      </w:r>
      <w:proofErr w:type="spellEnd"/>
      <w:r w:rsidRPr="003A1B10">
        <w:rPr>
          <w:rFonts w:ascii="Times New Roman" w:hAnsi="Times New Roman"/>
        </w:rPr>
        <w:t xml:space="preserve"> De </w:t>
      </w:r>
      <w:proofErr w:type="spellStart"/>
      <w:r w:rsidRPr="003A1B10">
        <w:rPr>
          <w:rFonts w:ascii="Times New Roman" w:hAnsi="Times New Roman"/>
        </w:rPr>
        <w:t>Investigaciones</w:t>
      </w:r>
      <w:proofErr w:type="spellEnd"/>
      <w:r w:rsidRPr="003A1B10">
        <w:rPr>
          <w:rFonts w:ascii="Times New Roman" w:hAnsi="Times New Roman"/>
        </w:rPr>
        <w:t xml:space="preserve"> </w:t>
      </w:r>
      <w:proofErr w:type="spellStart"/>
      <w:r w:rsidRPr="003A1B10">
        <w:rPr>
          <w:rFonts w:ascii="Times New Roman" w:hAnsi="Times New Roman"/>
        </w:rPr>
        <w:t>Jurídicas</w:t>
      </w:r>
      <w:proofErr w:type="spellEnd"/>
      <w:r w:rsidRPr="003A1B10">
        <w:rPr>
          <w:rFonts w:ascii="Times New Roman" w:hAnsi="Times New Roman"/>
        </w:rPr>
        <w:t>, 2020, s. 150.</w:t>
      </w:r>
    </w:p>
  </w:footnote>
  <w:footnote w:id="14">
    <w:p w14:paraId="208725DB" w14:textId="4BDAB091"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Hering</w:t>
      </w:r>
      <w:proofErr w:type="spellEnd"/>
      <w:r w:rsidRPr="003A1B10">
        <w:rPr>
          <w:rFonts w:ascii="Times New Roman" w:hAnsi="Times New Roman"/>
        </w:rPr>
        <w:t>, s. 150.</w:t>
      </w:r>
    </w:p>
  </w:footnote>
  <w:footnote w:id="15">
    <w:p w14:paraId="7702F5F1" w14:textId="3440E145"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Bkz. </w:t>
      </w:r>
      <w:proofErr w:type="spellStart"/>
      <w:r w:rsidRPr="003A1B10">
        <w:rPr>
          <w:rFonts w:ascii="Times New Roman" w:hAnsi="Times New Roman"/>
        </w:rPr>
        <w:t>Bundestag-Drucksache</w:t>
      </w:r>
      <w:proofErr w:type="spellEnd"/>
      <w:r w:rsidRPr="003A1B10">
        <w:rPr>
          <w:rFonts w:ascii="Times New Roman" w:hAnsi="Times New Roman"/>
        </w:rPr>
        <w:t xml:space="preserve"> </w:t>
      </w:r>
      <w:proofErr w:type="spellStart"/>
      <w:r w:rsidRPr="003A1B10">
        <w:rPr>
          <w:rFonts w:ascii="Times New Roman" w:hAnsi="Times New Roman"/>
        </w:rPr>
        <w:t>Nr</w:t>
      </w:r>
      <w:proofErr w:type="spellEnd"/>
      <w:r w:rsidRPr="003A1B10">
        <w:rPr>
          <w:rFonts w:ascii="Times New Roman" w:hAnsi="Times New Roman"/>
        </w:rPr>
        <w:t>. 19/18126.</w:t>
      </w:r>
    </w:p>
  </w:footnote>
  <w:footnote w:id="16">
    <w:p w14:paraId="6F30C552" w14:textId="4C3BD264"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Tom</w:t>
      </w:r>
      <w:proofErr w:type="spellEnd"/>
      <w:r w:rsidRPr="003A1B10">
        <w:rPr>
          <w:rFonts w:ascii="Times New Roman" w:hAnsi="Times New Roman"/>
        </w:rPr>
        <w:t xml:space="preserve"> </w:t>
      </w:r>
      <w:proofErr w:type="spellStart"/>
      <w:r w:rsidRPr="003A1B10">
        <w:rPr>
          <w:rFonts w:ascii="Times New Roman" w:hAnsi="Times New Roman"/>
        </w:rPr>
        <w:t>Ginsburg</w:t>
      </w:r>
      <w:proofErr w:type="spellEnd"/>
      <w:r w:rsidRPr="003A1B10">
        <w:rPr>
          <w:rFonts w:ascii="Times New Roman" w:hAnsi="Times New Roman"/>
        </w:rPr>
        <w:t xml:space="preserve">, “Covid-19 </w:t>
      </w:r>
      <w:proofErr w:type="spellStart"/>
      <w:r w:rsidRPr="003A1B10">
        <w:rPr>
          <w:rFonts w:ascii="Times New Roman" w:hAnsi="Times New Roman"/>
        </w:rPr>
        <w:t>and</w:t>
      </w:r>
      <w:proofErr w:type="spellEnd"/>
      <w:r w:rsidRPr="003A1B10">
        <w:rPr>
          <w:rFonts w:ascii="Times New Roman" w:hAnsi="Times New Roman"/>
        </w:rPr>
        <w:t xml:space="preserve"> </w:t>
      </w:r>
      <w:proofErr w:type="spellStart"/>
      <w:r w:rsidRPr="003A1B10">
        <w:rPr>
          <w:rFonts w:ascii="Times New Roman" w:hAnsi="Times New Roman"/>
        </w:rPr>
        <w:t>the</w:t>
      </w:r>
      <w:proofErr w:type="spellEnd"/>
      <w:r w:rsidRPr="003A1B10">
        <w:rPr>
          <w:rFonts w:ascii="Times New Roman" w:hAnsi="Times New Roman"/>
        </w:rPr>
        <w:t xml:space="preserve"> US </w:t>
      </w:r>
      <w:proofErr w:type="spellStart"/>
      <w:r w:rsidRPr="003A1B10">
        <w:rPr>
          <w:rFonts w:ascii="Times New Roman" w:hAnsi="Times New Roman"/>
        </w:rPr>
        <w:t>Constitution</w:t>
      </w:r>
      <w:proofErr w:type="spellEnd"/>
      <w:r w:rsidRPr="003A1B10">
        <w:rPr>
          <w:rFonts w:ascii="Times New Roman" w:hAnsi="Times New Roman"/>
        </w:rPr>
        <w:t xml:space="preserve">”, </w:t>
      </w:r>
      <w:r w:rsidRPr="003A1B10">
        <w:rPr>
          <w:rFonts w:ascii="Times New Roman" w:hAnsi="Times New Roman"/>
          <w:i/>
          <w:iCs/>
        </w:rPr>
        <w:t xml:space="preserve">Covid-19 </w:t>
      </w:r>
      <w:proofErr w:type="spellStart"/>
      <w:r w:rsidRPr="003A1B10">
        <w:rPr>
          <w:rFonts w:ascii="Times New Roman" w:hAnsi="Times New Roman"/>
          <w:i/>
          <w:iCs/>
        </w:rPr>
        <w:t>and</w:t>
      </w:r>
      <w:proofErr w:type="spellEnd"/>
      <w:r w:rsidRPr="003A1B10">
        <w:rPr>
          <w:rFonts w:ascii="Times New Roman" w:hAnsi="Times New Roman"/>
          <w:i/>
          <w:iCs/>
        </w:rPr>
        <w:t xml:space="preserve"> </w:t>
      </w:r>
      <w:proofErr w:type="spellStart"/>
      <w:r w:rsidRPr="003A1B10">
        <w:rPr>
          <w:rFonts w:ascii="Times New Roman" w:hAnsi="Times New Roman"/>
          <w:i/>
          <w:iCs/>
        </w:rPr>
        <w:t>Constitutional</w:t>
      </w:r>
      <w:proofErr w:type="spellEnd"/>
      <w:r w:rsidRPr="003A1B10">
        <w:rPr>
          <w:rFonts w:ascii="Times New Roman" w:hAnsi="Times New Roman"/>
          <w:i/>
          <w:iCs/>
        </w:rPr>
        <w:t xml:space="preserve"> </w:t>
      </w:r>
      <w:proofErr w:type="spellStart"/>
      <w:r w:rsidRPr="003A1B10">
        <w:rPr>
          <w:rFonts w:ascii="Times New Roman" w:hAnsi="Times New Roman"/>
          <w:i/>
          <w:iCs/>
        </w:rPr>
        <w:t>Law</w:t>
      </w:r>
      <w:proofErr w:type="spellEnd"/>
      <w:r w:rsidRPr="003A1B10">
        <w:rPr>
          <w:rFonts w:ascii="Times New Roman" w:hAnsi="Times New Roman"/>
        </w:rPr>
        <w:t xml:space="preserve"> (ed. </w:t>
      </w:r>
      <w:proofErr w:type="spellStart"/>
      <w:r w:rsidRPr="003A1B10">
        <w:rPr>
          <w:rFonts w:ascii="Times New Roman" w:hAnsi="Times New Roman"/>
        </w:rPr>
        <w:t>Serna</w:t>
      </w:r>
      <w:proofErr w:type="spellEnd"/>
      <w:r w:rsidRPr="003A1B10">
        <w:rPr>
          <w:rFonts w:ascii="Times New Roman" w:hAnsi="Times New Roman"/>
        </w:rPr>
        <w:t xml:space="preserve"> de la </w:t>
      </w:r>
      <w:proofErr w:type="spellStart"/>
      <w:r w:rsidRPr="003A1B10">
        <w:rPr>
          <w:rFonts w:ascii="Times New Roman" w:hAnsi="Times New Roman"/>
        </w:rPr>
        <w:t>Garza</w:t>
      </w:r>
      <w:proofErr w:type="spellEnd"/>
      <w:r w:rsidRPr="003A1B10">
        <w:rPr>
          <w:rFonts w:ascii="Times New Roman" w:hAnsi="Times New Roman"/>
        </w:rPr>
        <w:t xml:space="preserve">, </w:t>
      </w:r>
      <w:proofErr w:type="spellStart"/>
      <w:r w:rsidRPr="003A1B10">
        <w:rPr>
          <w:rFonts w:ascii="Times New Roman" w:hAnsi="Times New Roman"/>
        </w:rPr>
        <w:t>José</w:t>
      </w:r>
      <w:proofErr w:type="spellEnd"/>
      <w:r w:rsidRPr="003A1B10">
        <w:rPr>
          <w:rFonts w:ascii="Times New Roman" w:hAnsi="Times New Roman"/>
        </w:rPr>
        <w:t xml:space="preserve"> </w:t>
      </w:r>
      <w:proofErr w:type="spellStart"/>
      <w:r w:rsidRPr="003A1B10">
        <w:rPr>
          <w:rFonts w:ascii="Times New Roman" w:hAnsi="Times New Roman"/>
        </w:rPr>
        <w:t>María</w:t>
      </w:r>
      <w:proofErr w:type="spellEnd"/>
      <w:r w:rsidRPr="003A1B10">
        <w:rPr>
          <w:rFonts w:ascii="Times New Roman" w:hAnsi="Times New Roman"/>
        </w:rPr>
        <w:t xml:space="preserve">), </w:t>
      </w:r>
      <w:proofErr w:type="spellStart"/>
      <w:r w:rsidRPr="003A1B10">
        <w:rPr>
          <w:rFonts w:ascii="Times New Roman" w:hAnsi="Times New Roman"/>
        </w:rPr>
        <w:t>Instituto</w:t>
      </w:r>
      <w:proofErr w:type="spellEnd"/>
      <w:r w:rsidRPr="003A1B10">
        <w:rPr>
          <w:rFonts w:ascii="Times New Roman" w:hAnsi="Times New Roman"/>
        </w:rPr>
        <w:t xml:space="preserve"> De </w:t>
      </w:r>
      <w:proofErr w:type="spellStart"/>
      <w:r w:rsidRPr="003A1B10">
        <w:rPr>
          <w:rFonts w:ascii="Times New Roman" w:hAnsi="Times New Roman"/>
        </w:rPr>
        <w:t>Investigaciones</w:t>
      </w:r>
      <w:proofErr w:type="spellEnd"/>
      <w:r w:rsidRPr="003A1B10">
        <w:rPr>
          <w:rFonts w:ascii="Times New Roman" w:hAnsi="Times New Roman"/>
        </w:rPr>
        <w:t xml:space="preserve"> </w:t>
      </w:r>
      <w:proofErr w:type="spellStart"/>
      <w:r w:rsidRPr="003A1B10">
        <w:rPr>
          <w:rFonts w:ascii="Times New Roman" w:hAnsi="Times New Roman"/>
        </w:rPr>
        <w:t>Jurídicas</w:t>
      </w:r>
      <w:proofErr w:type="spellEnd"/>
      <w:r w:rsidRPr="003A1B10">
        <w:rPr>
          <w:rFonts w:ascii="Times New Roman" w:hAnsi="Times New Roman"/>
        </w:rPr>
        <w:t>, 2020, s. 70-71.</w:t>
      </w:r>
    </w:p>
  </w:footnote>
  <w:footnote w:id="17">
    <w:p w14:paraId="0FFA8618" w14:textId="23444C4B"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i/>
          <w:iCs/>
        </w:rPr>
        <w:t>Ibid</w:t>
      </w:r>
      <w:proofErr w:type="spellEnd"/>
      <w:r w:rsidRPr="003A1B10">
        <w:rPr>
          <w:rFonts w:ascii="Times New Roman" w:hAnsi="Times New Roman"/>
        </w:rPr>
        <w:t>.</w:t>
      </w:r>
    </w:p>
  </w:footnote>
  <w:footnote w:id="18">
    <w:p w14:paraId="36304C58" w14:textId="28BEF19C"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i/>
          <w:iCs/>
        </w:rPr>
        <w:t>Ibid</w:t>
      </w:r>
      <w:proofErr w:type="spellEnd"/>
      <w:r w:rsidRPr="003A1B10">
        <w:rPr>
          <w:rFonts w:ascii="Times New Roman" w:hAnsi="Times New Roman"/>
        </w:rPr>
        <w:t>.</w:t>
      </w:r>
    </w:p>
  </w:footnote>
  <w:footnote w:id="19">
    <w:p w14:paraId="7064521A" w14:textId="3D1BA403"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Ginsburg</w:t>
      </w:r>
      <w:proofErr w:type="spellEnd"/>
      <w:r w:rsidRPr="003A1B10">
        <w:rPr>
          <w:rFonts w:ascii="Times New Roman" w:hAnsi="Times New Roman"/>
        </w:rPr>
        <w:t>, s. 74.</w:t>
      </w:r>
    </w:p>
  </w:footnote>
  <w:footnote w:id="20">
    <w:p w14:paraId="4F2CD99C" w14:textId="66F1DDBF"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Toon</w:t>
      </w:r>
      <w:proofErr w:type="spellEnd"/>
      <w:r w:rsidRPr="003A1B10">
        <w:rPr>
          <w:rFonts w:ascii="Times New Roman" w:hAnsi="Times New Roman"/>
        </w:rPr>
        <w:t xml:space="preserve"> </w:t>
      </w:r>
      <w:proofErr w:type="spellStart"/>
      <w:r w:rsidRPr="003A1B10">
        <w:rPr>
          <w:rFonts w:ascii="Times New Roman" w:hAnsi="Times New Roman"/>
        </w:rPr>
        <w:t>Moonen</w:t>
      </w:r>
      <w:proofErr w:type="spellEnd"/>
      <w:r w:rsidRPr="003A1B10">
        <w:rPr>
          <w:rFonts w:ascii="Times New Roman" w:hAnsi="Times New Roman"/>
        </w:rPr>
        <w:t>, “</w:t>
      </w:r>
      <w:proofErr w:type="spellStart"/>
      <w:r w:rsidRPr="003A1B10">
        <w:rPr>
          <w:rFonts w:ascii="Times New Roman" w:hAnsi="Times New Roman"/>
        </w:rPr>
        <w:t>Questions</w:t>
      </w:r>
      <w:proofErr w:type="spellEnd"/>
      <w:r w:rsidRPr="003A1B10">
        <w:rPr>
          <w:rFonts w:ascii="Times New Roman" w:hAnsi="Times New Roman"/>
        </w:rPr>
        <w:t xml:space="preserve"> of </w:t>
      </w:r>
      <w:proofErr w:type="spellStart"/>
      <w:r w:rsidRPr="003A1B10">
        <w:rPr>
          <w:rFonts w:ascii="Times New Roman" w:hAnsi="Times New Roman"/>
        </w:rPr>
        <w:t>Constitutional</w:t>
      </w:r>
      <w:proofErr w:type="spellEnd"/>
      <w:r w:rsidRPr="003A1B10">
        <w:rPr>
          <w:rFonts w:ascii="Times New Roman" w:hAnsi="Times New Roman"/>
        </w:rPr>
        <w:t xml:space="preserve"> </w:t>
      </w:r>
      <w:proofErr w:type="spellStart"/>
      <w:r w:rsidRPr="003A1B10">
        <w:rPr>
          <w:rFonts w:ascii="Times New Roman" w:hAnsi="Times New Roman"/>
        </w:rPr>
        <w:t>Law</w:t>
      </w:r>
      <w:proofErr w:type="spellEnd"/>
      <w:r w:rsidRPr="003A1B10">
        <w:rPr>
          <w:rFonts w:ascii="Times New Roman" w:hAnsi="Times New Roman"/>
        </w:rPr>
        <w:t xml:space="preserve"> in </w:t>
      </w:r>
      <w:proofErr w:type="spellStart"/>
      <w:r w:rsidRPr="003A1B10">
        <w:rPr>
          <w:rFonts w:ascii="Times New Roman" w:hAnsi="Times New Roman"/>
        </w:rPr>
        <w:t>the</w:t>
      </w:r>
      <w:proofErr w:type="spellEnd"/>
      <w:r w:rsidRPr="003A1B10">
        <w:rPr>
          <w:rFonts w:ascii="Times New Roman" w:hAnsi="Times New Roman"/>
        </w:rPr>
        <w:t xml:space="preserve"> </w:t>
      </w:r>
      <w:proofErr w:type="spellStart"/>
      <w:r w:rsidRPr="003A1B10">
        <w:rPr>
          <w:rFonts w:ascii="Times New Roman" w:hAnsi="Times New Roman"/>
        </w:rPr>
        <w:t>Belgian</w:t>
      </w:r>
      <w:proofErr w:type="spellEnd"/>
      <w:r w:rsidRPr="003A1B10">
        <w:rPr>
          <w:rFonts w:ascii="Times New Roman" w:hAnsi="Times New Roman"/>
        </w:rPr>
        <w:t xml:space="preserve"> </w:t>
      </w:r>
      <w:proofErr w:type="spellStart"/>
      <w:r w:rsidRPr="003A1B10">
        <w:rPr>
          <w:rFonts w:ascii="Times New Roman" w:hAnsi="Times New Roman"/>
        </w:rPr>
        <w:t>Fight</w:t>
      </w:r>
      <w:proofErr w:type="spellEnd"/>
      <w:r w:rsidRPr="003A1B10">
        <w:rPr>
          <w:rFonts w:ascii="Times New Roman" w:hAnsi="Times New Roman"/>
        </w:rPr>
        <w:t xml:space="preserve"> </w:t>
      </w:r>
      <w:proofErr w:type="spellStart"/>
      <w:r w:rsidRPr="003A1B10">
        <w:rPr>
          <w:rFonts w:ascii="Times New Roman" w:hAnsi="Times New Roman"/>
        </w:rPr>
        <w:t>Against</w:t>
      </w:r>
      <w:proofErr w:type="spellEnd"/>
      <w:r w:rsidRPr="003A1B10">
        <w:rPr>
          <w:rFonts w:ascii="Times New Roman" w:hAnsi="Times New Roman"/>
        </w:rPr>
        <w:t xml:space="preserve"> Covid-19”, </w:t>
      </w:r>
      <w:r w:rsidRPr="003A1B10">
        <w:rPr>
          <w:rFonts w:ascii="Times New Roman" w:hAnsi="Times New Roman"/>
          <w:i/>
          <w:iCs/>
        </w:rPr>
        <w:t xml:space="preserve">Covid-19 </w:t>
      </w:r>
      <w:proofErr w:type="spellStart"/>
      <w:r w:rsidRPr="003A1B10">
        <w:rPr>
          <w:rFonts w:ascii="Times New Roman" w:hAnsi="Times New Roman"/>
          <w:i/>
          <w:iCs/>
        </w:rPr>
        <w:t>and</w:t>
      </w:r>
      <w:proofErr w:type="spellEnd"/>
      <w:r w:rsidRPr="003A1B10">
        <w:rPr>
          <w:rFonts w:ascii="Times New Roman" w:hAnsi="Times New Roman"/>
          <w:i/>
          <w:iCs/>
        </w:rPr>
        <w:t xml:space="preserve"> </w:t>
      </w:r>
      <w:proofErr w:type="spellStart"/>
      <w:r w:rsidRPr="003A1B10">
        <w:rPr>
          <w:rFonts w:ascii="Times New Roman" w:hAnsi="Times New Roman"/>
          <w:i/>
          <w:iCs/>
        </w:rPr>
        <w:t>Constitutional</w:t>
      </w:r>
      <w:proofErr w:type="spellEnd"/>
      <w:r w:rsidRPr="003A1B10">
        <w:rPr>
          <w:rFonts w:ascii="Times New Roman" w:hAnsi="Times New Roman"/>
          <w:i/>
          <w:iCs/>
        </w:rPr>
        <w:t xml:space="preserve"> </w:t>
      </w:r>
      <w:proofErr w:type="spellStart"/>
      <w:r w:rsidRPr="003A1B10">
        <w:rPr>
          <w:rFonts w:ascii="Times New Roman" w:hAnsi="Times New Roman"/>
          <w:i/>
          <w:iCs/>
        </w:rPr>
        <w:t>Law</w:t>
      </w:r>
      <w:proofErr w:type="spellEnd"/>
      <w:r w:rsidRPr="003A1B10">
        <w:rPr>
          <w:rFonts w:ascii="Times New Roman" w:hAnsi="Times New Roman"/>
        </w:rPr>
        <w:t xml:space="preserve"> (ed. </w:t>
      </w:r>
      <w:proofErr w:type="spellStart"/>
      <w:r w:rsidRPr="003A1B10">
        <w:rPr>
          <w:rFonts w:ascii="Times New Roman" w:hAnsi="Times New Roman"/>
        </w:rPr>
        <w:t>Serna</w:t>
      </w:r>
      <w:proofErr w:type="spellEnd"/>
      <w:r w:rsidRPr="003A1B10">
        <w:rPr>
          <w:rFonts w:ascii="Times New Roman" w:hAnsi="Times New Roman"/>
        </w:rPr>
        <w:t xml:space="preserve"> de la </w:t>
      </w:r>
      <w:proofErr w:type="spellStart"/>
      <w:r w:rsidRPr="003A1B10">
        <w:rPr>
          <w:rFonts w:ascii="Times New Roman" w:hAnsi="Times New Roman"/>
        </w:rPr>
        <w:t>Garza</w:t>
      </w:r>
      <w:proofErr w:type="spellEnd"/>
      <w:r w:rsidRPr="003A1B10">
        <w:rPr>
          <w:rFonts w:ascii="Times New Roman" w:hAnsi="Times New Roman"/>
        </w:rPr>
        <w:t xml:space="preserve">, </w:t>
      </w:r>
      <w:proofErr w:type="spellStart"/>
      <w:r w:rsidRPr="003A1B10">
        <w:rPr>
          <w:rFonts w:ascii="Times New Roman" w:hAnsi="Times New Roman"/>
        </w:rPr>
        <w:t>José</w:t>
      </w:r>
      <w:proofErr w:type="spellEnd"/>
      <w:r w:rsidRPr="003A1B10">
        <w:rPr>
          <w:rFonts w:ascii="Times New Roman" w:hAnsi="Times New Roman"/>
        </w:rPr>
        <w:t xml:space="preserve"> </w:t>
      </w:r>
      <w:proofErr w:type="spellStart"/>
      <w:r w:rsidRPr="003A1B10">
        <w:rPr>
          <w:rFonts w:ascii="Times New Roman" w:hAnsi="Times New Roman"/>
        </w:rPr>
        <w:t>María</w:t>
      </w:r>
      <w:proofErr w:type="spellEnd"/>
      <w:r w:rsidRPr="003A1B10">
        <w:rPr>
          <w:rFonts w:ascii="Times New Roman" w:hAnsi="Times New Roman"/>
        </w:rPr>
        <w:t xml:space="preserve">), </w:t>
      </w:r>
      <w:proofErr w:type="spellStart"/>
      <w:r w:rsidRPr="003A1B10">
        <w:rPr>
          <w:rFonts w:ascii="Times New Roman" w:hAnsi="Times New Roman"/>
        </w:rPr>
        <w:t>Instituto</w:t>
      </w:r>
      <w:proofErr w:type="spellEnd"/>
      <w:r w:rsidRPr="003A1B10">
        <w:rPr>
          <w:rFonts w:ascii="Times New Roman" w:hAnsi="Times New Roman"/>
        </w:rPr>
        <w:t xml:space="preserve"> De </w:t>
      </w:r>
      <w:proofErr w:type="spellStart"/>
      <w:r w:rsidRPr="003A1B10">
        <w:rPr>
          <w:rFonts w:ascii="Times New Roman" w:hAnsi="Times New Roman"/>
        </w:rPr>
        <w:t>Investigaciones</w:t>
      </w:r>
      <w:proofErr w:type="spellEnd"/>
      <w:r w:rsidRPr="003A1B10">
        <w:rPr>
          <w:rFonts w:ascii="Times New Roman" w:hAnsi="Times New Roman"/>
        </w:rPr>
        <w:t xml:space="preserve"> </w:t>
      </w:r>
      <w:proofErr w:type="spellStart"/>
      <w:r w:rsidRPr="003A1B10">
        <w:rPr>
          <w:rFonts w:ascii="Times New Roman" w:hAnsi="Times New Roman"/>
        </w:rPr>
        <w:t>Jurídicas</w:t>
      </w:r>
      <w:proofErr w:type="spellEnd"/>
      <w:r w:rsidRPr="003A1B10">
        <w:rPr>
          <w:rFonts w:ascii="Times New Roman" w:hAnsi="Times New Roman"/>
        </w:rPr>
        <w:t>, 2020, s. 125.</w:t>
      </w:r>
    </w:p>
  </w:footnote>
  <w:footnote w:id="21">
    <w:p w14:paraId="634EFD95" w14:textId="078F26DC"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Bkz. </w:t>
      </w:r>
      <w:hyperlink r:id="rId6" w:history="1">
        <w:r w:rsidRPr="003A1B10">
          <w:rPr>
            <w:rStyle w:val="Hyperlink"/>
            <w:rFonts w:ascii="Times New Roman" w:hAnsi="Times New Roman"/>
            <w:color w:val="auto"/>
            <w:u w:val="none"/>
          </w:rPr>
          <w:t>http://www.ejustice.just.fgov.be/eli/</w:t>
        </w:r>
      </w:hyperlink>
      <w:r w:rsidRPr="003A1B10">
        <w:rPr>
          <w:rFonts w:ascii="Times New Roman" w:hAnsi="Times New Roman"/>
        </w:rPr>
        <w:t xml:space="preserve"> </w:t>
      </w:r>
      <w:proofErr w:type="spellStart"/>
      <w:r w:rsidRPr="003A1B10">
        <w:rPr>
          <w:rFonts w:ascii="Times New Roman" w:hAnsi="Times New Roman"/>
        </w:rPr>
        <w:t>wet</w:t>
      </w:r>
      <w:proofErr w:type="spellEnd"/>
      <w:r w:rsidRPr="003A1B10">
        <w:rPr>
          <w:rFonts w:ascii="Times New Roman" w:hAnsi="Times New Roman"/>
        </w:rPr>
        <w:t>/2007/05/15/2007000663/</w:t>
      </w:r>
      <w:proofErr w:type="spellStart"/>
      <w:r w:rsidRPr="003A1B10">
        <w:rPr>
          <w:rFonts w:ascii="Times New Roman" w:hAnsi="Times New Roman"/>
        </w:rPr>
        <w:t>justel</w:t>
      </w:r>
      <w:proofErr w:type="spellEnd"/>
      <w:r w:rsidRPr="003A1B10">
        <w:rPr>
          <w:rFonts w:ascii="Times New Roman" w:hAnsi="Times New Roman"/>
        </w:rPr>
        <w:t>.</w:t>
      </w:r>
    </w:p>
  </w:footnote>
  <w:footnote w:id="22">
    <w:p w14:paraId="09BC5D34" w14:textId="1CB8ED0E"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Moonen</w:t>
      </w:r>
      <w:proofErr w:type="spellEnd"/>
      <w:r w:rsidRPr="003A1B10">
        <w:rPr>
          <w:rFonts w:ascii="Times New Roman" w:hAnsi="Times New Roman"/>
        </w:rPr>
        <w:t>, s. 126.</w:t>
      </w:r>
    </w:p>
  </w:footnote>
  <w:footnote w:id="23">
    <w:p w14:paraId="391ECC1F" w14:textId="0A8849FC"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Bu yetki, </w:t>
      </w:r>
      <w:r w:rsidRPr="003A1B10">
        <w:rPr>
          <w:rFonts w:ascii="Times New Roman" w:hAnsi="Times New Roman"/>
          <w:lang w:eastAsia="tr-TR"/>
        </w:rPr>
        <w:t xml:space="preserve">2009 yılında H1N1 virüsü için kullanılmıştır. Bkz. http://www.ejustice.just.fgov.be/eli/wet/2009/10/16/2009024377/Justel. Söz konusu yetki, çoğunlukla 1980'lerin ekonomik ve mali çalkantısıyla savaşmak ve Belçika'yı 1990'larda Euro Bölgesi'ne sokmak için kullanılan bir araç olarak hatırlanıyor. Bkz. </w:t>
      </w:r>
      <w:proofErr w:type="spellStart"/>
      <w:r w:rsidRPr="003A1B10">
        <w:rPr>
          <w:rFonts w:ascii="Times New Roman" w:hAnsi="Times New Roman"/>
          <w:lang w:eastAsia="tr-TR"/>
        </w:rPr>
        <w:t>Moonen</w:t>
      </w:r>
      <w:proofErr w:type="spellEnd"/>
      <w:r w:rsidRPr="003A1B10">
        <w:rPr>
          <w:rFonts w:ascii="Times New Roman" w:hAnsi="Times New Roman"/>
          <w:lang w:eastAsia="tr-TR"/>
        </w:rPr>
        <w:t>, s. 126-127.</w:t>
      </w:r>
    </w:p>
  </w:footnote>
  <w:footnote w:id="24">
    <w:p w14:paraId="2B85E0EC" w14:textId="58065DFE" w:rsidR="00336E79" w:rsidRPr="003A1B10" w:rsidRDefault="00336E79" w:rsidP="003A1B10">
      <w:pPr>
        <w:spacing w:after="0" w:line="240" w:lineRule="auto"/>
        <w:contextualSpacing/>
        <w:jc w:val="both"/>
        <w:rPr>
          <w:rFonts w:ascii="Times New Roman" w:hAnsi="Times New Roman" w:cs="Times New Roman"/>
          <w:sz w:val="20"/>
          <w:szCs w:val="20"/>
        </w:rPr>
      </w:pPr>
      <w:r w:rsidRPr="003A1B10">
        <w:rPr>
          <w:rStyle w:val="FootnoteReference"/>
          <w:rFonts w:ascii="Times New Roman" w:hAnsi="Times New Roman" w:cs="Times New Roman"/>
          <w:sz w:val="20"/>
          <w:szCs w:val="20"/>
        </w:rPr>
        <w:footnoteRef/>
      </w:r>
      <w:r w:rsidRPr="003A1B10">
        <w:rPr>
          <w:rFonts w:ascii="Times New Roman" w:hAnsi="Times New Roman" w:cs="Times New Roman"/>
          <w:sz w:val="20"/>
          <w:szCs w:val="20"/>
        </w:rPr>
        <w:t xml:space="preserve"> Bkz. </w:t>
      </w:r>
      <w:hyperlink r:id="rId7" w:history="1">
        <w:r w:rsidRPr="003A1B10">
          <w:rPr>
            <w:rStyle w:val="Hyperlink"/>
            <w:rFonts w:ascii="Times New Roman" w:hAnsi="Times New Roman" w:cs="Times New Roman"/>
            <w:color w:val="auto"/>
            <w:sz w:val="20"/>
            <w:szCs w:val="20"/>
            <w:u w:val="none"/>
          </w:rPr>
          <w:t>http://www.ejustice.just.fgov.be/eli/decret/2020/03/17/2020040687/justel</w:t>
        </w:r>
      </w:hyperlink>
      <w:r w:rsidRPr="003A1B10">
        <w:rPr>
          <w:rFonts w:ascii="Times New Roman" w:hAnsi="Times New Roman" w:cs="Times New Roman"/>
          <w:sz w:val="20"/>
          <w:szCs w:val="20"/>
        </w:rPr>
        <w:t xml:space="preserve">, 17.03.2020, e.t. 14.10.2021. </w:t>
      </w:r>
      <w:r w:rsidRPr="003A1B10">
        <w:rPr>
          <w:rFonts w:ascii="Times New Roman" w:hAnsi="Times New Roman" w:cs="Times New Roman"/>
          <w:sz w:val="20"/>
          <w:szCs w:val="20"/>
          <w:lang w:eastAsia="tr-TR"/>
        </w:rPr>
        <w:t xml:space="preserve">Ne var ki bu yetki kapsamında, kural olarak zorunlu olan, hükümete Danıştay'dan görüş almayı atlama yetkisi dahi verilmiştir. Parlamento ise bu kapsamda alınan kararların ve önlemlerin kabul edilmelerinden itibaren en geç bir yıl içinde bu kararları onaylamak zorundadır. Bkz. </w:t>
      </w:r>
      <w:proofErr w:type="spellStart"/>
      <w:r w:rsidRPr="003A1B10">
        <w:rPr>
          <w:rFonts w:ascii="Times New Roman" w:hAnsi="Times New Roman" w:cs="Times New Roman"/>
          <w:sz w:val="20"/>
          <w:szCs w:val="20"/>
          <w:lang w:eastAsia="tr-TR"/>
        </w:rPr>
        <w:t>Moonen</w:t>
      </w:r>
      <w:proofErr w:type="spellEnd"/>
      <w:r w:rsidRPr="003A1B10">
        <w:rPr>
          <w:rFonts w:ascii="Times New Roman" w:hAnsi="Times New Roman" w:cs="Times New Roman"/>
          <w:sz w:val="20"/>
          <w:szCs w:val="20"/>
          <w:lang w:eastAsia="tr-TR"/>
        </w:rPr>
        <w:t>, s. 127.</w:t>
      </w:r>
    </w:p>
  </w:footnote>
  <w:footnote w:id="25">
    <w:p w14:paraId="3CB48DEE" w14:textId="77777777"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hyperlink r:id="rId8" w:history="1">
        <w:r w:rsidRPr="003A1B10">
          <w:rPr>
            <w:rStyle w:val="Hyperlink"/>
            <w:rFonts w:ascii="Times New Roman" w:hAnsi="Times New Roman"/>
            <w:color w:val="auto"/>
            <w:u w:val="none"/>
          </w:rPr>
          <w:t>http://www.ejustice.just.fgov.be/eli/</w:t>
        </w:r>
      </w:hyperlink>
      <w:r w:rsidRPr="003A1B10">
        <w:rPr>
          <w:rFonts w:ascii="Times New Roman" w:hAnsi="Times New Roman"/>
        </w:rPr>
        <w:t xml:space="preserve"> </w:t>
      </w:r>
      <w:proofErr w:type="spellStart"/>
      <w:r w:rsidRPr="003A1B10">
        <w:rPr>
          <w:rFonts w:ascii="Times New Roman" w:hAnsi="Times New Roman"/>
        </w:rPr>
        <w:t>wet</w:t>
      </w:r>
      <w:proofErr w:type="spellEnd"/>
      <w:r w:rsidRPr="003A1B10">
        <w:rPr>
          <w:rFonts w:ascii="Times New Roman" w:hAnsi="Times New Roman"/>
        </w:rPr>
        <w:t>/2020/03/27/2020040937/</w:t>
      </w:r>
      <w:proofErr w:type="spellStart"/>
      <w:r w:rsidRPr="003A1B10">
        <w:rPr>
          <w:rFonts w:ascii="Times New Roman" w:hAnsi="Times New Roman"/>
        </w:rPr>
        <w:t>justel</w:t>
      </w:r>
      <w:proofErr w:type="spellEnd"/>
      <w:r w:rsidRPr="003A1B10">
        <w:rPr>
          <w:rFonts w:ascii="Times New Roman" w:hAnsi="Times New Roman"/>
        </w:rPr>
        <w:t>;</w:t>
      </w:r>
    </w:p>
    <w:p w14:paraId="7F8FAD8D" w14:textId="7B2B06E6" w:rsidR="00336E79" w:rsidRPr="003A1B10" w:rsidRDefault="00336E79" w:rsidP="003A1B10">
      <w:pPr>
        <w:pStyle w:val="FootnoteText"/>
        <w:ind w:left="0" w:right="0"/>
        <w:contextualSpacing/>
        <w:jc w:val="both"/>
        <w:rPr>
          <w:rFonts w:ascii="Times New Roman" w:hAnsi="Times New Roman"/>
        </w:rPr>
      </w:pPr>
      <w:r w:rsidRPr="003A1B10">
        <w:rPr>
          <w:rFonts w:ascii="Times New Roman" w:hAnsi="Times New Roman"/>
        </w:rPr>
        <w:t>http://www.ejustice.just.fgov.be/eli/wet/2020</w:t>
      </w:r>
    </w:p>
    <w:p w14:paraId="383207FC" w14:textId="4601EBBD" w:rsidR="00336E79" w:rsidRPr="003A1B10" w:rsidRDefault="00336E79" w:rsidP="003A1B10">
      <w:pPr>
        <w:pStyle w:val="FootnoteText"/>
        <w:ind w:left="0" w:right="0"/>
        <w:contextualSpacing/>
        <w:jc w:val="both"/>
        <w:rPr>
          <w:rFonts w:ascii="Times New Roman" w:hAnsi="Times New Roman"/>
        </w:rPr>
      </w:pPr>
      <w:r w:rsidRPr="003A1B10">
        <w:rPr>
          <w:rFonts w:ascii="Times New Roman" w:hAnsi="Times New Roman"/>
        </w:rPr>
        <w:t>/03/27/2020040938/</w:t>
      </w:r>
      <w:proofErr w:type="spellStart"/>
      <w:r w:rsidRPr="003A1B10">
        <w:rPr>
          <w:rFonts w:ascii="Times New Roman" w:hAnsi="Times New Roman"/>
        </w:rPr>
        <w:t>justel</w:t>
      </w:r>
      <w:proofErr w:type="spellEnd"/>
      <w:r w:rsidRPr="003A1B10">
        <w:rPr>
          <w:rFonts w:ascii="Times New Roman" w:hAnsi="Times New Roman"/>
        </w:rPr>
        <w:t xml:space="preserve"> (II).</w:t>
      </w:r>
    </w:p>
  </w:footnote>
  <w:footnote w:id="26">
    <w:p w14:paraId="388556EF" w14:textId="6B3B291C"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Moonen</w:t>
      </w:r>
      <w:proofErr w:type="spellEnd"/>
      <w:r w:rsidRPr="003A1B10">
        <w:rPr>
          <w:rFonts w:ascii="Times New Roman" w:hAnsi="Times New Roman"/>
        </w:rPr>
        <w:t>, s. 128.</w:t>
      </w:r>
    </w:p>
  </w:footnote>
  <w:footnote w:id="27">
    <w:p w14:paraId="03FF77BC" w14:textId="5D2F810B"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Polonya’da </w:t>
      </w:r>
      <w:r w:rsidRPr="003A1B10">
        <w:rPr>
          <w:rFonts w:ascii="Times New Roman" w:hAnsi="Times New Roman"/>
          <w:lang w:eastAsia="tr-TR"/>
        </w:rPr>
        <w:t xml:space="preserve">2008 tarihli Bulaşıcı Hastalıklar Yasası </w:t>
      </w:r>
      <w:r w:rsidRPr="003A1B10">
        <w:rPr>
          <w:rFonts w:ascii="Times New Roman" w:hAnsi="Times New Roman"/>
          <w:i/>
          <w:iCs/>
          <w:lang w:eastAsia="tr-TR"/>
        </w:rPr>
        <w:t>(</w:t>
      </w:r>
      <w:proofErr w:type="spellStart"/>
      <w:r w:rsidRPr="003A1B10">
        <w:rPr>
          <w:rFonts w:ascii="Times New Roman" w:hAnsi="Times New Roman"/>
          <w:i/>
          <w:iCs/>
        </w:rPr>
        <w:t>Infectious</w:t>
      </w:r>
      <w:proofErr w:type="spellEnd"/>
      <w:r w:rsidRPr="003A1B10">
        <w:rPr>
          <w:rFonts w:ascii="Times New Roman" w:hAnsi="Times New Roman"/>
          <w:i/>
          <w:iCs/>
        </w:rPr>
        <w:t xml:space="preserve"> </w:t>
      </w:r>
      <w:proofErr w:type="spellStart"/>
      <w:r w:rsidRPr="003A1B10">
        <w:rPr>
          <w:rFonts w:ascii="Times New Roman" w:hAnsi="Times New Roman"/>
          <w:i/>
          <w:iCs/>
        </w:rPr>
        <w:t>Diseases</w:t>
      </w:r>
      <w:proofErr w:type="spellEnd"/>
      <w:r w:rsidRPr="003A1B10">
        <w:rPr>
          <w:rFonts w:ascii="Times New Roman" w:hAnsi="Times New Roman"/>
          <w:i/>
          <w:iCs/>
        </w:rPr>
        <w:t xml:space="preserve"> </w:t>
      </w:r>
      <w:proofErr w:type="spellStart"/>
      <w:r w:rsidRPr="003A1B10">
        <w:rPr>
          <w:rFonts w:ascii="Times New Roman" w:hAnsi="Times New Roman"/>
          <w:i/>
          <w:iCs/>
        </w:rPr>
        <w:t>Act</w:t>
      </w:r>
      <w:proofErr w:type="spellEnd"/>
      <w:r w:rsidRPr="003A1B10">
        <w:rPr>
          <w:rFonts w:ascii="Times New Roman" w:hAnsi="Times New Roman"/>
          <w:i/>
          <w:iCs/>
        </w:rPr>
        <w:t>)</w:t>
      </w:r>
      <w:r w:rsidRPr="003A1B10">
        <w:rPr>
          <w:rFonts w:ascii="Times New Roman" w:hAnsi="Times New Roman"/>
        </w:rPr>
        <w:t xml:space="preserve">, Macaristan’da ise 2011 tarihli Afet Yönetimi Yasası </w:t>
      </w:r>
      <w:r w:rsidRPr="003A1B10">
        <w:rPr>
          <w:rFonts w:ascii="Times New Roman" w:hAnsi="Times New Roman"/>
          <w:i/>
          <w:iCs/>
        </w:rPr>
        <w:t>(</w:t>
      </w:r>
      <w:proofErr w:type="spellStart"/>
      <w:r w:rsidRPr="003A1B10">
        <w:rPr>
          <w:rFonts w:ascii="Times New Roman" w:hAnsi="Times New Roman"/>
          <w:i/>
          <w:iCs/>
        </w:rPr>
        <w:t>Disaster</w:t>
      </w:r>
      <w:proofErr w:type="spellEnd"/>
      <w:r w:rsidRPr="003A1B10">
        <w:rPr>
          <w:rFonts w:ascii="Times New Roman" w:hAnsi="Times New Roman"/>
          <w:i/>
          <w:iCs/>
        </w:rPr>
        <w:t xml:space="preserve"> Management </w:t>
      </w:r>
      <w:proofErr w:type="spellStart"/>
      <w:r w:rsidRPr="003A1B10">
        <w:rPr>
          <w:rFonts w:ascii="Times New Roman" w:hAnsi="Times New Roman"/>
          <w:i/>
          <w:iCs/>
        </w:rPr>
        <w:t>Act</w:t>
      </w:r>
      <w:proofErr w:type="spellEnd"/>
      <w:r w:rsidRPr="003A1B10">
        <w:rPr>
          <w:rFonts w:ascii="Times New Roman" w:hAnsi="Times New Roman"/>
          <w:i/>
          <w:iCs/>
        </w:rPr>
        <w:t>)</w:t>
      </w:r>
      <w:r w:rsidRPr="003A1B10">
        <w:rPr>
          <w:rFonts w:ascii="Times New Roman" w:hAnsi="Times New Roman"/>
        </w:rPr>
        <w:t xml:space="preserve"> ve 2020 tarihli </w:t>
      </w:r>
      <w:proofErr w:type="spellStart"/>
      <w:r w:rsidRPr="003A1B10">
        <w:rPr>
          <w:rFonts w:ascii="Times New Roman" w:hAnsi="Times New Roman"/>
        </w:rPr>
        <w:t>Koronavirüsü</w:t>
      </w:r>
      <w:proofErr w:type="spellEnd"/>
      <w:r w:rsidRPr="003A1B10">
        <w:rPr>
          <w:rFonts w:ascii="Times New Roman" w:hAnsi="Times New Roman"/>
        </w:rPr>
        <w:t xml:space="preserve"> Önleme </w:t>
      </w:r>
      <w:r w:rsidRPr="003A1B10">
        <w:rPr>
          <w:rFonts w:ascii="Times New Roman" w:hAnsi="Times New Roman"/>
          <w:i/>
          <w:iCs/>
        </w:rPr>
        <w:t>Yasası (</w:t>
      </w:r>
      <w:proofErr w:type="spellStart"/>
      <w:r w:rsidRPr="003A1B10">
        <w:rPr>
          <w:rFonts w:ascii="Times New Roman" w:hAnsi="Times New Roman"/>
          <w:i/>
          <w:iCs/>
        </w:rPr>
        <w:t>Coronavirus</w:t>
      </w:r>
      <w:proofErr w:type="spellEnd"/>
      <w:r w:rsidRPr="003A1B10">
        <w:rPr>
          <w:rFonts w:ascii="Times New Roman" w:hAnsi="Times New Roman"/>
          <w:i/>
          <w:iCs/>
        </w:rPr>
        <w:t xml:space="preserve"> </w:t>
      </w:r>
      <w:proofErr w:type="spellStart"/>
      <w:r w:rsidRPr="003A1B10">
        <w:rPr>
          <w:rFonts w:ascii="Times New Roman" w:hAnsi="Times New Roman"/>
          <w:i/>
          <w:iCs/>
        </w:rPr>
        <w:t>Containment</w:t>
      </w:r>
      <w:proofErr w:type="spellEnd"/>
      <w:r w:rsidRPr="003A1B10">
        <w:rPr>
          <w:rFonts w:ascii="Times New Roman" w:hAnsi="Times New Roman"/>
          <w:i/>
          <w:iCs/>
        </w:rPr>
        <w:t xml:space="preserve"> </w:t>
      </w:r>
      <w:proofErr w:type="spellStart"/>
      <w:r w:rsidRPr="003A1B10">
        <w:rPr>
          <w:rFonts w:ascii="Times New Roman" w:hAnsi="Times New Roman"/>
          <w:i/>
          <w:iCs/>
        </w:rPr>
        <w:t>Act</w:t>
      </w:r>
      <w:proofErr w:type="spellEnd"/>
      <w:r w:rsidRPr="003A1B10">
        <w:rPr>
          <w:rFonts w:ascii="Times New Roman" w:hAnsi="Times New Roman"/>
          <w:i/>
          <w:iCs/>
        </w:rPr>
        <w:t>)</w:t>
      </w:r>
      <w:r w:rsidRPr="003A1B10">
        <w:rPr>
          <w:rFonts w:ascii="Times New Roman" w:hAnsi="Times New Roman"/>
        </w:rPr>
        <w:t xml:space="preserve"> başlıklı iki farklı hukuki düzenleme göze çarpmaktadır. Bkz. </w:t>
      </w:r>
      <w:proofErr w:type="spellStart"/>
      <w:r w:rsidRPr="003A1B10">
        <w:rPr>
          <w:rFonts w:ascii="Times New Roman" w:hAnsi="Times New Roman"/>
        </w:rPr>
        <w:t>Act</w:t>
      </w:r>
      <w:proofErr w:type="spellEnd"/>
      <w:r w:rsidRPr="003A1B10">
        <w:rPr>
          <w:rFonts w:ascii="Times New Roman" w:hAnsi="Times New Roman"/>
        </w:rPr>
        <w:t xml:space="preserve"> No. CXXVIII of 2011 ve </w:t>
      </w:r>
      <w:proofErr w:type="spellStart"/>
      <w:r w:rsidRPr="003A1B10">
        <w:rPr>
          <w:rFonts w:ascii="Times New Roman" w:hAnsi="Times New Roman"/>
        </w:rPr>
        <w:t>Act</w:t>
      </w:r>
      <w:proofErr w:type="spellEnd"/>
      <w:r w:rsidRPr="003A1B10">
        <w:rPr>
          <w:rFonts w:ascii="Times New Roman" w:hAnsi="Times New Roman"/>
        </w:rPr>
        <w:t xml:space="preserve"> XII of 2020. Ayrıca bkz. </w:t>
      </w:r>
      <w:proofErr w:type="spellStart"/>
      <w:r w:rsidRPr="003A1B10">
        <w:rPr>
          <w:rFonts w:ascii="Times New Roman" w:hAnsi="Times New Roman"/>
        </w:rPr>
        <w:t>European</w:t>
      </w:r>
      <w:proofErr w:type="spellEnd"/>
      <w:r w:rsidRPr="003A1B10">
        <w:rPr>
          <w:rFonts w:ascii="Times New Roman" w:hAnsi="Times New Roman"/>
        </w:rPr>
        <w:t xml:space="preserve"> </w:t>
      </w:r>
      <w:proofErr w:type="spellStart"/>
      <w:r w:rsidRPr="003A1B10">
        <w:rPr>
          <w:rFonts w:ascii="Times New Roman" w:hAnsi="Times New Roman"/>
        </w:rPr>
        <w:t>Union</w:t>
      </w:r>
      <w:proofErr w:type="spellEnd"/>
      <w:r w:rsidRPr="003A1B10">
        <w:rPr>
          <w:rFonts w:ascii="Times New Roman" w:hAnsi="Times New Roman"/>
        </w:rPr>
        <w:t xml:space="preserve"> </w:t>
      </w:r>
      <w:proofErr w:type="spellStart"/>
      <w:r w:rsidRPr="003A1B10">
        <w:rPr>
          <w:rFonts w:ascii="Times New Roman" w:hAnsi="Times New Roman"/>
        </w:rPr>
        <w:t>Agency</w:t>
      </w:r>
      <w:proofErr w:type="spellEnd"/>
      <w:r w:rsidRPr="003A1B10">
        <w:rPr>
          <w:rFonts w:ascii="Times New Roman" w:hAnsi="Times New Roman"/>
        </w:rPr>
        <w:t xml:space="preserve"> </w:t>
      </w:r>
      <w:proofErr w:type="spellStart"/>
      <w:r w:rsidRPr="003A1B10">
        <w:rPr>
          <w:rFonts w:ascii="Times New Roman" w:hAnsi="Times New Roman"/>
        </w:rPr>
        <w:t>for</w:t>
      </w:r>
      <w:proofErr w:type="spellEnd"/>
      <w:r w:rsidRPr="003A1B10">
        <w:rPr>
          <w:rFonts w:ascii="Times New Roman" w:hAnsi="Times New Roman"/>
        </w:rPr>
        <w:t xml:space="preserve"> </w:t>
      </w:r>
      <w:proofErr w:type="spellStart"/>
      <w:r w:rsidRPr="003A1B10">
        <w:rPr>
          <w:rFonts w:ascii="Times New Roman" w:hAnsi="Times New Roman"/>
        </w:rPr>
        <w:t>Fundamental</w:t>
      </w:r>
      <w:proofErr w:type="spellEnd"/>
      <w:r w:rsidRPr="003A1B10">
        <w:rPr>
          <w:rFonts w:ascii="Times New Roman" w:hAnsi="Times New Roman"/>
        </w:rPr>
        <w:t xml:space="preserve"> </w:t>
      </w:r>
      <w:proofErr w:type="spellStart"/>
      <w:r w:rsidRPr="003A1B10">
        <w:rPr>
          <w:rFonts w:ascii="Times New Roman" w:hAnsi="Times New Roman"/>
        </w:rPr>
        <w:t>Rights</w:t>
      </w:r>
      <w:proofErr w:type="spellEnd"/>
      <w:r w:rsidRPr="003A1B10">
        <w:rPr>
          <w:rFonts w:ascii="Times New Roman" w:hAnsi="Times New Roman"/>
        </w:rPr>
        <w:t xml:space="preserve">, </w:t>
      </w:r>
      <w:proofErr w:type="spellStart"/>
      <w:r w:rsidRPr="003A1B10">
        <w:rPr>
          <w:rFonts w:ascii="Times New Roman" w:hAnsi="Times New Roman"/>
        </w:rPr>
        <w:t>Coronavirus</w:t>
      </w:r>
      <w:proofErr w:type="spellEnd"/>
      <w:r w:rsidRPr="003A1B10">
        <w:rPr>
          <w:rFonts w:ascii="Times New Roman" w:hAnsi="Times New Roman"/>
        </w:rPr>
        <w:t xml:space="preserve"> COVID-19 </w:t>
      </w:r>
      <w:proofErr w:type="spellStart"/>
      <w:r w:rsidRPr="003A1B10">
        <w:rPr>
          <w:rFonts w:ascii="Times New Roman" w:hAnsi="Times New Roman"/>
        </w:rPr>
        <w:t>Outbreak</w:t>
      </w:r>
      <w:proofErr w:type="spellEnd"/>
      <w:r w:rsidRPr="003A1B10">
        <w:rPr>
          <w:rFonts w:ascii="Times New Roman" w:hAnsi="Times New Roman"/>
        </w:rPr>
        <w:t xml:space="preserve"> in </w:t>
      </w:r>
      <w:proofErr w:type="spellStart"/>
      <w:r w:rsidRPr="003A1B10">
        <w:rPr>
          <w:rFonts w:ascii="Times New Roman" w:hAnsi="Times New Roman"/>
        </w:rPr>
        <w:t>the</w:t>
      </w:r>
      <w:proofErr w:type="spellEnd"/>
      <w:r w:rsidRPr="003A1B10">
        <w:rPr>
          <w:rFonts w:ascii="Times New Roman" w:hAnsi="Times New Roman"/>
        </w:rPr>
        <w:t xml:space="preserve"> EU </w:t>
      </w:r>
      <w:proofErr w:type="spellStart"/>
      <w:r w:rsidRPr="003A1B10">
        <w:rPr>
          <w:rFonts w:ascii="Times New Roman" w:hAnsi="Times New Roman"/>
        </w:rPr>
        <w:t>Fundamental</w:t>
      </w:r>
      <w:proofErr w:type="spellEnd"/>
      <w:r w:rsidRPr="003A1B10">
        <w:rPr>
          <w:rFonts w:ascii="Times New Roman" w:hAnsi="Times New Roman"/>
        </w:rPr>
        <w:t xml:space="preserve"> </w:t>
      </w:r>
      <w:proofErr w:type="spellStart"/>
      <w:r w:rsidRPr="003A1B10">
        <w:rPr>
          <w:rFonts w:ascii="Times New Roman" w:hAnsi="Times New Roman"/>
        </w:rPr>
        <w:t>Rights</w:t>
      </w:r>
      <w:proofErr w:type="spellEnd"/>
      <w:r w:rsidRPr="003A1B10">
        <w:rPr>
          <w:rFonts w:ascii="Times New Roman" w:hAnsi="Times New Roman"/>
        </w:rPr>
        <w:t xml:space="preserve"> </w:t>
      </w:r>
      <w:proofErr w:type="spellStart"/>
      <w:r w:rsidRPr="003A1B10">
        <w:rPr>
          <w:rFonts w:ascii="Times New Roman" w:hAnsi="Times New Roman"/>
        </w:rPr>
        <w:t>Implications</w:t>
      </w:r>
      <w:proofErr w:type="spellEnd"/>
      <w:r w:rsidRPr="003A1B10">
        <w:rPr>
          <w:rFonts w:ascii="Times New Roman" w:hAnsi="Times New Roman"/>
        </w:rPr>
        <w:t xml:space="preserve">: Poland, 24.03.2020; </w:t>
      </w:r>
      <w:proofErr w:type="spellStart"/>
      <w:r w:rsidRPr="003A1B10">
        <w:rPr>
          <w:rFonts w:ascii="Times New Roman" w:hAnsi="Times New Roman"/>
        </w:rPr>
        <w:t>European</w:t>
      </w:r>
      <w:proofErr w:type="spellEnd"/>
      <w:r w:rsidRPr="003A1B10">
        <w:rPr>
          <w:rFonts w:ascii="Times New Roman" w:hAnsi="Times New Roman"/>
        </w:rPr>
        <w:t xml:space="preserve"> </w:t>
      </w:r>
      <w:proofErr w:type="spellStart"/>
      <w:r w:rsidRPr="003A1B10">
        <w:rPr>
          <w:rFonts w:ascii="Times New Roman" w:hAnsi="Times New Roman"/>
        </w:rPr>
        <w:t>Union</w:t>
      </w:r>
      <w:proofErr w:type="spellEnd"/>
      <w:r w:rsidRPr="003A1B10">
        <w:rPr>
          <w:rFonts w:ascii="Times New Roman" w:hAnsi="Times New Roman"/>
        </w:rPr>
        <w:t xml:space="preserve"> </w:t>
      </w:r>
      <w:proofErr w:type="spellStart"/>
      <w:r w:rsidRPr="003A1B10">
        <w:rPr>
          <w:rFonts w:ascii="Times New Roman" w:hAnsi="Times New Roman"/>
        </w:rPr>
        <w:t>Agency</w:t>
      </w:r>
      <w:proofErr w:type="spellEnd"/>
      <w:r w:rsidRPr="003A1B10">
        <w:rPr>
          <w:rFonts w:ascii="Times New Roman" w:hAnsi="Times New Roman"/>
        </w:rPr>
        <w:t xml:space="preserve"> </w:t>
      </w:r>
      <w:proofErr w:type="spellStart"/>
      <w:r w:rsidRPr="003A1B10">
        <w:rPr>
          <w:rFonts w:ascii="Times New Roman" w:hAnsi="Times New Roman"/>
        </w:rPr>
        <w:t>for</w:t>
      </w:r>
      <w:proofErr w:type="spellEnd"/>
      <w:r w:rsidRPr="003A1B10">
        <w:rPr>
          <w:rFonts w:ascii="Times New Roman" w:hAnsi="Times New Roman"/>
        </w:rPr>
        <w:t xml:space="preserve"> </w:t>
      </w:r>
      <w:proofErr w:type="spellStart"/>
      <w:r w:rsidRPr="003A1B10">
        <w:rPr>
          <w:rFonts w:ascii="Times New Roman" w:hAnsi="Times New Roman"/>
        </w:rPr>
        <w:t>Fundamental</w:t>
      </w:r>
      <w:proofErr w:type="spellEnd"/>
      <w:r w:rsidRPr="003A1B10">
        <w:rPr>
          <w:rFonts w:ascii="Times New Roman" w:hAnsi="Times New Roman"/>
        </w:rPr>
        <w:t xml:space="preserve"> </w:t>
      </w:r>
      <w:proofErr w:type="spellStart"/>
      <w:r w:rsidRPr="003A1B10">
        <w:rPr>
          <w:rFonts w:ascii="Times New Roman" w:hAnsi="Times New Roman"/>
        </w:rPr>
        <w:t>Rights</w:t>
      </w:r>
      <w:proofErr w:type="spellEnd"/>
      <w:r w:rsidRPr="003A1B10">
        <w:rPr>
          <w:rFonts w:ascii="Times New Roman" w:hAnsi="Times New Roman"/>
        </w:rPr>
        <w:t xml:space="preserve">, </w:t>
      </w:r>
      <w:proofErr w:type="spellStart"/>
      <w:r w:rsidRPr="003A1B10">
        <w:rPr>
          <w:rFonts w:ascii="Times New Roman" w:hAnsi="Times New Roman"/>
        </w:rPr>
        <w:t>Coronavirus</w:t>
      </w:r>
      <w:proofErr w:type="spellEnd"/>
      <w:r w:rsidRPr="003A1B10">
        <w:rPr>
          <w:rFonts w:ascii="Times New Roman" w:hAnsi="Times New Roman"/>
        </w:rPr>
        <w:t xml:space="preserve"> COVID-19 </w:t>
      </w:r>
      <w:proofErr w:type="spellStart"/>
      <w:r w:rsidRPr="003A1B10">
        <w:rPr>
          <w:rFonts w:ascii="Times New Roman" w:hAnsi="Times New Roman"/>
        </w:rPr>
        <w:t>Outbreak</w:t>
      </w:r>
      <w:proofErr w:type="spellEnd"/>
      <w:r w:rsidRPr="003A1B10">
        <w:rPr>
          <w:rFonts w:ascii="Times New Roman" w:hAnsi="Times New Roman"/>
        </w:rPr>
        <w:t xml:space="preserve"> in </w:t>
      </w:r>
      <w:proofErr w:type="spellStart"/>
      <w:r w:rsidRPr="003A1B10">
        <w:rPr>
          <w:rFonts w:ascii="Times New Roman" w:hAnsi="Times New Roman"/>
        </w:rPr>
        <w:t>the</w:t>
      </w:r>
      <w:proofErr w:type="spellEnd"/>
      <w:r w:rsidRPr="003A1B10">
        <w:rPr>
          <w:rFonts w:ascii="Times New Roman" w:hAnsi="Times New Roman"/>
        </w:rPr>
        <w:t xml:space="preserve"> EU </w:t>
      </w:r>
      <w:proofErr w:type="spellStart"/>
      <w:r w:rsidRPr="003A1B10">
        <w:rPr>
          <w:rFonts w:ascii="Times New Roman" w:hAnsi="Times New Roman"/>
        </w:rPr>
        <w:t>Fundamental</w:t>
      </w:r>
      <w:proofErr w:type="spellEnd"/>
      <w:r w:rsidRPr="003A1B10">
        <w:rPr>
          <w:rFonts w:ascii="Times New Roman" w:hAnsi="Times New Roman"/>
        </w:rPr>
        <w:t xml:space="preserve"> </w:t>
      </w:r>
      <w:proofErr w:type="spellStart"/>
      <w:r w:rsidRPr="003A1B10">
        <w:rPr>
          <w:rFonts w:ascii="Times New Roman" w:hAnsi="Times New Roman"/>
        </w:rPr>
        <w:t>Rights</w:t>
      </w:r>
      <w:proofErr w:type="spellEnd"/>
      <w:r w:rsidRPr="003A1B10">
        <w:rPr>
          <w:rFonts w:ascii="Times New Roman" w:hAnsi="Times New Roman"/>
        </w:rPr>
        <w:t xml:space="preserve"> </w:t>
      </w:r>
      <w:proofErr w:type="spellStart"/>
      <w:r w:rsidRPr="003A1B10">
        <w:rPr>
          <w:rFonts w:ascii="Times New Roman" w:hAnsi="Times New Roman"/>
        </w:rPr>
        <w:t>Implications</w:t>
      </w:r>
      <w:proofErr w:type="spellEnd"/>
      <w:r w:rsidRPr="003A1B10">
        <w:rPr>
          <w:rFonts w:ascii="Times New Roman" w:hAnsi="Times New Roman"/>
        </w:rPr>
        <w:t xml:space="preserve">: </w:t>
      </w:r>
      <w:proofErr w:type="spellStart"/>
      <w:r w:rsidRPr="003A1B10">
        <w:rPr>
          <w:rFonts w:ascii="Times New Roman" w:hAnsi="Times New Roman"/>
        </w:rPr>
        <w:t>Hungary</w:t>
      </w:r>
      <w:proofErr w:type="spellEnd"/>
      <w:r w:rsidRPr="003A1B10">
        <w:rPr>
          <w:rFonts w:ascii="Times New Roman" w:hAnsi="Times New Roman"/>
        </w:rPr>
        <w:t xml:space="preserve">, 03.03.2020; </w:t>
      </w:r>
      <w:proofErr w:type="spellStart"/>
      <w:r w:rsidRPr="003A1B10">
        <w:rPr>
          <w:rFonts w:ascii="Times New Roman" w:hAnsi="Times New Roman"/>
        </w:rPr>
        <w:t>Marek</w:t>
      </w:r>
      <w:proofErr w:type="spellEnd"/>
      <w:r w:rsidRPr="003A1B10">
        <w:rPr>
          <w:rFonts w:ascii="Times New Roman" w:hAnsi="Times New Roman"/>
        </w:rPr>
        <w:t xml:space="preserve"> </w:t>
      </w:r>
      <w:proofErr w:type="spellStart"/>
      <w:r w:rsidRPr="003A1B10">
        <w:rPr>
          <w:rFonts w:ascii="Times New Roman" w:hAnsi="Times New Roman"/>
        </w:rPr>
        <w:t>Zubik</w:t>
      </w:r>
      <w:proofErr w:type="spellEnd"/>
      <w:r w:rsidRPr="003A1B10">
        <w:rPr>
          <w:rFonts w:ascii="Times New Roman" w:hAnsi="Times New Roman"/>
        </w:rPr>
        <w:t xml:space="preserve"> &amp; Dominik </w:t>
      </w:r>
      <w:proofErr w:type="spellStart"/>
      <w:r w:rsidRPr="003A1B10">
        <w:rPr>
          <w:rFonts w:ascii="Times New Roman" w:hAnsi="Times New Roman"/>
        </w:rPr>
        <w:t>Łukowiak</w:t>
      </w:r>
      <w:proofErr w:type="spellEnd"/>
      <w:r w:rsidRPr="003A1B10">
        <w:rPr>
          <w:rFonts w:ascii="Times New Roman" w:hAnsi="Times New Roman"/>
        </w:rPr>
        <w:t xml:space="preserve">, “Covid-19 </w:t>
      </w:r>
      <w:proofErr w:type="spellStart"/>
      <w:r w:rsidRPr="003A1B10">
        <w:rPr>
          <w:rFonts w:ascii="Times New Roman" w:hAnsi="Times New Roman"/>
        </w:rPr>
        <w:t>and</w:t>
      </w:r>
      <w:proofErr w:type="spellEnd"/>
      <w:r w:rsidRPr="003A1B10">
        <w:rPr>
          <w:rFonts w:ascii="Times New Roman" w:hAnsi="Times New Roman"/>
        </w:rPr>
        <w:t xml:space="preserve"> </w:t>
      </w:r>
      <w:proofErr w:type="spellStart"/>
      <w:r w:rsidRPr="003A1B10">
        <w:rPr>
          <w:rFonts w:ascii="Times New Roman" w:hAnsi="Times New Roman"/>
        </w:rPr>
        <w:t>Constitutional</w:t>
      </w:r>
      <w:proofErr w:type="spellEnd"/>
      <w:r w:rsidRPr="003A1B10">
        <w:rPr>
          <w:rFonts w:ascii="Times New Roman" w:hAnsi="Times New Roman"/>
        </w:rPr>
        <w:t xml:space="preserve"> </w:t>
      </w:r>
      <w:proofErr w:type="spellStart"/>
      <w:r w:rsidRPr="003A1B10">
        <w:rPr>
          <w:rFonts w:ascii="Times New Roman" w:hAnsi="Times New Roman"/>
        </w:rPr>
        <w:t>Law</w:t>
      </w:r>
      <w:proofErr w:type="spellEnd"/>
      <w:r w:rsidRPr="003A1B10">
        <w:rPr>
          <w:rFonts w:ascii="Times New Roman" w:hAnsi="Times New Roman"/>
        </w:rPr>
        <w:t xml:space="preserve">: </w:t>
      </w:r>
      <w:proofErr w:type="spellStart"/>
      <w:r w:rsidRPr="003A1B10">
        <w:rPr>
          <w:rFonts w:ascii="Times New Roman" w:hAnsi="Times New Roman"/>
        </w:rPr>
        <w:t>The</w:t>
      </w:r>
      <w:proofErr w:type="spellEnd"/>
      <w:r w:rsidRPr="003A1B10">
        <w:rPr>
          <w:rFonts w:ascii="Times New Roman" w:hAnsi="Times New Roman"/>
        </w:rPr>
        <w:t xml:space="preserve"> Case of Poland”, </w:t>
      </w:r>
      <w:r w:rsidRPr="003A1B10">
        <w:rPr>
          <w:rFonts w:ascii="Times New Roman" w:hAnsi="Times New Roman"/>
          <w:i/>
          <w:iCs/>
        </w:rPr>
        <w:t xml:space="preserve">Covid-19 </w:t>
      </w:r>
      <w:proofErr w:type="spellStart"/>
      <w:r w:rsidRPr="003A1B10">
        <w:rPr>
          <w:rFonts w:ascii="Times New Roman" w:hAnsi="Times New Roman"/>
          <w:i/>
          <w:iCs/>
        </w:rPr>
        <w:t>and</w:t>
      </w:r>
      <w:proofErr w:type="spellEnd"/>
      <w:r w:rsidRPr="003A1B10">
        <w:rPr>
          <w:rFonts w:ascii="Times New Roman" w:hAnsi="Times New Roman"/>
          <w:i/>
          <w:iCs/>
        </w:rPr>
        <w:t xml:space="preserve"> </w:t>
      </w:r>
      <w:proofErr w:type="spellStart"/>
      <w:r w:rsidRPr="003A1B10">
        <w:rPr>
          <w:rFonts w:ascii="Times New Roman" w:hAnsi="Times New Roman"/>
          <w:i/>
          <w:iCs/>
        </w:rPr>
        <w:t>Constitutional</w:t>
      </w:r>
      <w:proofErr w:type="spellEnd"/>
      <w:r w:rsidRPr="003A1B10">
        <w:rPr>
          <w:rFonts w:ascii="Times New Roman" w:hAnsi="Times New Roman"/>
          <w:i/>
          <w:iCs/>
        </w:rPr>
        <w:t xml:space="preserve"> </w:t>
      </w:r>
      <w:proofErr w:type="spellStart"/>
      <w:r w:rsidRPr="003A1B10">
        <w:rPr>
          <w:rFonts w:ascii="Times New Roman" w:hAnsi="Times New Roman"/>
          <w:i/>
          <w:iCs/>
        </w:rPr>
        <w:t>Law</w:t>
      </w:r>
      <w:proofErr w:type="spellEnd"/>
      <w:r w:rsidRPr="003A1B10">
        <w:rPr>
          <w:rFonts w:ascii="Times New Roman" w:hAnsi="Times New Roman"/>
        </w:rPr>
        <w:t xml:space="preserve"> (ed. </w:t>
      </w:r>
      <w:proofErr w:type="spellStart"/>
      <w:r w:rsidRPr="003A1B10">
        <w:rPr>
          <w:rFonts w:ascii="Times New Roman" w:hAnsi="Times New Roman"/>
        </w:rPr>
        <w:t>Serna</w:t>
      </w:r>
      <w:proofErr w:type="spellEnd"/>
      <w:r w:rsidRPr="003A1B10">
        <w:rPr>
          <w:rFonts w:ascii="Times New Roman" w:hAnsi="Times New Roman"/>
        </w:rPr>
        <w:t xml:space="preserve"> de la </w:t>
      </w:r>
      <w:proofErr w:type="spellStart"/>
      <w:r w:rsidRPr="003A1B10">
        <w:rPr>
          <w:rFonts w:ascii="Times New Roman" w:hAnsi="Times New Roman"/>
        </w:rPr>
        <w:t>Garza</w:t>
      </w:r>
      <w:proofErr w:type="spellEnd"/>
      <w:r w:rsidRPr="003A1B10">
        <w:rPr>
          <w:rFonts w:ascii="Times New Roman" w:hAnsi="Times New Roman"/>
        </w:rPr>
        <w:t xml:space="preserve">, </w:t>
      </w:r>
      <w:proofErr w:type="spellStart"/>
      <w:r w:rsidRPr="003A1B10">
        <w:rPr>
          <w:rFonts w:ascii="Times New Roman" w:hAnsi="Times New Roman"/>
        </w:rPr>
        <w:t>José</w:t>
      </w:r>
      <w:proofErr w:type="spellEnd"/>
      <w:r w:rsidRPr="003A1B10">
        <w:rPr>
          <w:rFonts w:ascii="Times New Roman" w:hAnsi="Times New Roman"/>
        </w:rPr>
        <w:t xml:space="preserve"> </w:t>
      </w:r>
      <w:proofErr w:type="spellStart"/>
      <w:r w:rsidRPr="003A1B10">
        <w:rPr>
          <w:rFonts w:ascii="Times New Roman" w:hAnsi="Times New Roman"/>
        </w:rPr>
        <w:t>María</w:t>
      </w:r>
      <w:proofErr w:type="spellEnd"/>
      <w:r w:rsidRPr="003A1B10">
        <w:rPr>
          <w:rFonts w:ascii="Times New Roman" w:hAnsi="Times New Roman"/>
        </w:rPr>
        <w:t xml:space="preserve">), </w:t>
      </w:r>
      <w:proofErr w:type="spellStart"/>
      <w:r w:rsidRPr="003A1B10">
        <w:rPr>
          <w:rFonts w:ascii="Times New Roman" w:hAnsi="Times New Roman"/>
        </w:rPr>
        <w:t>Instituto</w:t>
      </w:r>
      <w:proofErr w:type="spellEnd"/>
      <w:r w:rsidRPr="003A1B10">
        <w:rPr>
          <w:rFonts w:ascii="Times New Roman" w:hAnsi="Times New Roman"/>
        </w:rPr>
        <w:t xml:space="preserve"> De </w:t>
      </w:r>
      <w:proofErr w:type="spellStart"/>
      <w:r w:rsidRPr="003A1B10">
        <w:rPr>
          <w:rFonts w:ascii="Times New Roman" w:hAnsi="Times New Roman"/>
        </w:rPr>
        <w:t>Investigaciones</w:t>
      </w:r>
      <w:proofErr w:type="spellEnd"/>
      <w:r w:rsidRPr="003A1B10">
        <w:rPr>
          <w:rFonts w:ascii="Times New Roman" w:hAnsi="Times New Roman"/>
        </w:rPr>
        <w:t xml:space="preserve"> </w:t>
      </w:r>
      <w:proofErr w:type="spellStart"/>
      <w:r w:rsidRPr="003A1B10">
        <w:rPr>
          <w:rFonts w:ascii="Times New Roman" w:hAnsi="Times New Roman"/>
        </w:rPr>
        <w:t>Jurídicas</w:t>
      </w:r>
      <w:proofErr w:type="spellEnd"/>
      <w:r w:rsidRPr="003A1B10">
        <w:rPr>
          <w:rFonts w:ascii="Times New Roman" w:hAnsi="Times New Roman"/>
        </w:rPr>
        <w:t xml:space="preserve">, 2020, s. 177. </w:t>
      </w:r>
    </w:p>
  </w:footnote>
  <w:footnote w:id="28">
    <w:p w14:paraId="0F867593" w14:textId="6D5E5B1C"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Zubik</w:t>
      </w:r>
      <w:proofErr w:type="spellEnd"/>
      <w:r w:rsidRPr="003A1B10">
        <w:rPr>
          <w:rFonts w:ascii="Times New Roman" w:hAnsi="Times New Roman"/>
        </w:rPr>
        <w:t xml:space="preserve"> &amp; </w:t>
      </w:r>
      <w:proofErr w:type="spellStart"/>
      <w:r w:rsidRPr="003A1B10">
        <w:rPr>
          <w:rFonts w:ascii="Times New Roman" w:hAnsi="Times New Roman"/>
        </w:rPr>
        <w:t>Łukowiak</w:t>
      </w:r>
      <w:proofErr w:type="spellEnd"/>
      <w:r w:rsidRPr="003A1B10">
        <w:rPr>
          <w:rFonts w:ascii="Times New Roman" w:hAnsi="Times New Roman"/>
        </w:rPr>
        <w:t>, s. 178.</w:t>
      </w:r>
    </w:p>
  </w:footnote>
  <w:footnote w:id="29">
    <w:p w14:paraId="7DF072AF" w14:textId="43413967"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Zubik</w:t>
      </w:r>
      <w:proofErr w:type="spellEnd"/>
      <w:r w:rsidRPr="003A1B10">
        <w:rPr>
          <w:rFonts w:ascii="Times New Roman" w:hAnsi="Times New Roman"/>
        </w:rPr>
        <w:t xml:space="preserve"> &amp; </w:t>
      </w:r>
      <w:proofErr w:type="spellStart"/>
      <w:r w:rsidRPr="003A1B10">
        <w:rPr>
          <w:rFonts w:ascii="Times New Roman" w:hAnsi="Times New Roman"/>
        </w:rPr>
        <w:t>Łukowiak</w:t>
      </w:r>
      <w:proofErr w:type="spellEnd"/>
      <w:r w:rsidRPr="003A1B10">
        <w:rPr>
          <w:rFonts w:ascii="Times New Roman" w:hAnsi="Times New Roman"/>
        </w:rPr>
        <w:t>, s. 178.</w:t>
      </w:r>
    </w:p>
  </w:footnote>
  <w:footnote w:id="30">
    <w:p w14:paraId="6D92431D" w14:textId="77777777"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Fruzsina</w:t>
      </w:r>
      <w:proofErr w:type="spellEnd"/>
      <w:r w:rsidRPr="003A1B10">
        <w:rPr>
          <w:rFonts w:ascii="Times New Roman" w:hAnsi="Times New Roman"/>
        </w:rPr>
        <w:t xml:space="preserve"> </w:t>
      </w:r>
      <w:proofErr w:type="spellStart"/>
      <w:r w:rsidRPr="003A1B10">
        <w:rPr>
          <w:rFonts w:ascii="Times New Roman" w:hAnsi="Times New Roman"/>
        </w:rPr>
        <w:t>Gárdos-Orosz</w:t>
      </w:r>
      <w:proofErr w:type="spellEnd"/>
      <w:r w:rsidRPr="003A1B10">
        <w:rPr>
          <w:rFonts w:ascii="Times New Roman" w:hAnsi="Times New Roman"/>
        </w:rPr>
        <w:t xml:space="preserve">, “Covid-19 </w:t>
      </w:r>
      <w:proofErr w:type="spellStart"/>
      <w:r w:rsidRPr="003A1B10">
        <w:rPr>
          <w:rFonts w:ascii="Times New Roman" w:hAnsi="Times New Roman"/>
        </w:rPr>
        <w:t>and</w:t>
      </w:r>
      <w:proofErr w:type="spellEnd"/>
      <w:r w:rsidRPr="003A1B10">
        <w:rPr>
          <w:rFonts w:ascii="Times New Roman" w:hAnsi="Times New Roman"/>
        </w:rPr>
        <w:t xml:space="preserve"> </w:t>
      </w:r>
      <w:proofErr w:type="spellStart"/>
      <w:r w:rsidRPr="003A1B10">
        <w:rPr>
          <w:rFonts w:ascii="Times New Roman" w:hAnsi="Times New Roman"/>
        </w:rPr>
        <w:t>the</w:t>
      </w:r>
      <w:proofErr w:type="spellEnd"/>
      <w:r w:rsidRPr="003A1B10">
        <w:rPr>
          <w:rFonts w:ascii="Times New Roman" w:hAnsi="Times New Roman"/>
        </w:rPr>
        <w:t xml:space="preserve"> </w:t>
      </w:r>
      <w:proofErr w:type="spellStart"/>
      <w:r w:rsidRPr="003A1B10">
        <w:rPr>
          <w:rFonts w:ascii="Times New Roman" w:hAnsi="Times New Roman"/>
        </w:rPr>
        <w:t>Responsiveness</w:t>
      </w:r>
      <w:proofErr w:type="spellEnd"/>
      <w:r w:rsidRPr="003A1B10">
        <w:rPr>
          <w:rFonts w:ascii="Times New Roman" w:hAnsi="Times New Roman"/>
        </w:rPr>
        <w:t xml:space="preserve"> of </w:t>
      </w:r>
      <w:proofErr w:type="spellStart"/>
      <w:r w:rsidRPr="003A1B10">
        <w:rPr>
          <w:rFonts w:ascii="Times New Roman" w:hAnsi="Times New Roman"/>
        </w:rPr>
        <w:t>the</w:t>
      </w:r>
      <w:proofErr w:type="spellEnd"/>
      <w:r w:rsidRPr="003A1B10">
        <w:rPr>
          <w:rFonts w:ascii="Times New Roman" w:hAnsi="Times New Roman"/>
        </w:rPr>
        <w:t xml:space="preserve"> </w:t>
      </w:r>
      <w:proofErr w:type="spellStart"/>
      <w:r w:rsidRPr="003A1B10">
        <w:rPr>
          <w:rFonts w:ascii="Times New Roman" w:hAnsi="Times New Roman"/>
        </w:rPr>
        <w:t>Hungarian</w:t>
      </w:r>
      <w:proofErr w:type="spellEnd"/>
      <w:r w:rsidRPr="003A1B10">
        <w:rPr>
          <w:rFonts w:ascii="Times New Roman" w:hAnsi="Times New Roman"/>
        </w:rPr>
        <w:t xml:space="preserve"> </w:t>
      </w:r>
      <w:proofErr w:type="spellStart"/>
      <w:r w:rsidRPr="003A1B10">
        <w:rPr>
          <w:rFonts w:ascii="Times New Roman" w:hAnsi="Times New Roman"/>
        </w:rPr>
        <w:t>Constitutional</w:t>
      </w:r>
      <w:proofErr w:type="spellEnd"/>
      <w:r w:rsidRPr="003A1B10">
        <w:rPr>
          <w:rFonts w:ascii="Times New Roman" w:hAnsi="Times New Roman"/>
        </w:rPr>
        <w:t xml:space="preserve"> </w:t>
      </w:r>
      <w:proofErr w:type="spellStart"/>
      <w:r w:rsidRPr="003A1B10">
        <w:rPr>
          <w:rFonts w:ascii="Times New Roman" w:hAnsi="Times New Roman"/>
        </w:rPr>
        <w:t>System</w:t>
      </w:r>
      <w:proofErr w:type="spellEnd"/>
      <w:r w:rsidRPr="003A1B10">
        <w:rPr>
          <w:rFonts w:ascii="Times New Roman" w:hAnsi="Times New Roman"/>
        </w:rPr>
        <w:t xml:space="preserve">”, </w:t>
      </w:r>
      <w:r w:rsidRPr="003A1B10">
        <w:rPr>
          <w:rFonts w:ascii="Times New Roman" w:hAnsi="Times New Roman"/>
          <w:i/>
          <w:iCs/>
        </w:rPr>
        <w:t xml:space="preserve">Covid-19 </w:t>
      </w:r>
      <w:proofErr w:type="spellStart"/>
      <w:r w:rsidRPr="003A1B10">
        <w:rPr>
          <w:rFonts w:ascii="Times New Roman" w:hAnsi="Times New Roman"/>
          <w:i/>
          <w:iCs/>
        </w:rPr>
        <w:t>and</w:t>
      </w:r>
      <w:proofErr w:type="spellEnd"/>
      <w:r w:rsidRPr="003A1B10">
        <w:rPr>
          <w:rFonts w:ascii="Times New Roman" w:hAnsi="Times New Roman"/>
          <w:i/>
          <w:iCs/>
        </w:rPr>
        <w:t xml:space="preserve"> </w:t>
      </w:r>
      <w:proofErr w:type="spellStart"/>
      <w:r w:rsidRPr="003A1B10">
        <w:rPr>
          <w:rFonts w:ascii="Times New Roman" w:hAnsi="Times New Roman"/>
          <w:i/>
          <w:iCs/>
        </w:rPr>
        <w:t>Constitutional</w:t>
      </w:r>
      <w:proofErr w:type="spellEnd"/>
      <w:r w:rsidRPr="003A1B10">
        <w:rPr>
          <w:rFonts w:ascii="Times New Roman" w:hAnsi="Times New Roman"/>
          <w:i/>
          <w:iCs/>
        </w:rPr>
        <w:t xml:space="preserve"> </w:t>
      </w:r>
      <w:proofErr w:type="spellStart"/>
      <w:r w:rsidRPr="003A1B10">
        <w:rPr>
          <w:rFonts w:ascii="Times New Roman" w:hAnsi="Times New Roman"/>
          <w:i/>
          <w:iCs/>
        </w:rPr>
        <w:t>Law</w:t>
      </w:r>
      <w:proofErr w:type="spellEnd"/>
      <w:r w:rsidRPr="003A1B10">
        <w:rPr>
          <w:rFonts w:ascii="Times New Roman" w:hAnsi="Times New Roman"/>
        </w:rPr>
        <w:t xml:space="preserve"> (ed. </w:t>
      </w:r>
      <w:proofErr w:type="spellStart"/>
      <w:r w:rsidRPr="003A1B10">
        <w:rPr>
          <w:rFonts w:ascii="Times New Roman" w:hAnsi="Times New Roman"/>
        </w:rPr>
        <w:t>Serna</w:t>
      </w:r>
      <w:proofErr w:type="spellEnd"/>
      <w:r w:rsidRPr="003A1B10">
        <w:rPr>
          <w:rFonts w:ascii="Times New Roman" w:hAnsi="Times New Roman"/>
        </w:rPr>
        <w:t xml:space="preserve"> de la </w:t>
      </w:r>
      <w:proofErr w:type="spellStart"/>
      <w:r w:rsidRPr="003A1B10">
        <w:rPr>
          <w:rFonts w:ascii="Times New Roman" w:hAnsi="Times New Roman"/>
        </w:rPr>
        <w:t>Garza</w:t>
      </w:r>
      <w:proofErr w:type="spellEnd"/>
      <w:r w:rsidRPr="003A1B10">
        <w:rPr>
          <w:rFonts w:ascii="Times New Roman" w:hAnsi="Times New Roman"/>
        </w:rPr>
        <w:t xml:space="preserve">, </w:t>
      </w:r>
      <w:proofErr w:type="spellStart"/>
      <w:r w:rsidRPr="003A1B10">
        <w:rPr>
          <w:rFonts w:ascii="Times New Roman" w:hAnsi="Times New Roman"/>
        </w:rPr>
        <w:t>José</w:t>
      </w:r>
      <w:proofErr w:type="spellEnd"/>
      <w:r w:rsidRPr="003A1B10">
        <w:rPr>
          <w:rFonts w:ascii="Times New Roman" w:hAnsi="Times New Roman"/>
        </w:rPr>
        <w:t xml:space="preserve"> </w:t>
      </w:r>
      <w:proofErr w:type="spellStart"/>
      <w:r w:rsidRPr="003A1B10">
        <w:rPr>
          <w:rFonts w:ascii="Times New Roman" w:hAnsi="Times New Roman"/>
        </w:rPr>
        <w:t>María</w:t>
      </w:r>
      <w:proofErr w:type="spellEnd"/>
      <w:r w:rsidRPr="003A1B10">
        <w:rPr>
          <w:rFonts w:ascii="Times New Roman" w:hAnsi="Times New Roman"/>
        </w:rPr>
        <w:t xml:space="preserve">), </w:t>
      </w:r>
      <w:proofErr w:type="spellStart"/>
      <w:r w:rsidRPr="003A1B10">
        <w:rPr>
          <w:rFonts w:ascii="Times New Roman" w:hAnsi="Times New Roman"/>
        </w:rPr>
        <w:t>Instituto</w:t>
      </w:r>
      <w:proofErr w:type="spellEnd"/>
      <w:r w:rsidRPr="003A1B10">
        <w:rPr>
          <w:rFonts w:ascii="Times New Roman" w:hAnsi="Times New Roman"/>
        </w:rPr>
        <w:t xml:space="preserve"> De </w:t>
      </w:r>
      <w:proofErr w:type="spellStart"/>
      <w:r w:rsidRPr="003A1B10">
        <w:rPr>
          <w:rFonts w:ascii="Times New Roman" w:hAnsi="Times New Roman"/>
        </w:rPr>
        <w:t>Investigaciones</w:t>
      </w:r>
      <w:proofErr w:type="spellEnd"/>
      <w:r w:rsidRPr="003A1B10">
        <w:rPr>
          <w:rFonts w:ascii="Times New Roman" w:hAnsi="Times New Roman"/>
        </w:rPr>
        <w:t xml:space="preserve"> </w:t>
      </w:r>
      <w:proofErr w:type="spellStart"/>
      <w:r w:rsidRPr="003A1B10">
        <w:rPr>
          <w:rFonts w:ascii="Times New Roman" w:hAnsi="Times New Roman"/>
        </w:rPr>
        <w:t>Jurídicas</w:t>
      </w:r>
      <w:proofErr w:type="spellEnd"/>
      <w:r w:rsidRPr="003A1B10">
        <w:rPr>
          <w:rFonts w:ascii="Times New Roman" w:hAnsi="Times New Roman"/>
        </w:rPr>
        <w:t>, 2020, s. 158; Macaristan Anayasası’nın ilgili hükümleri için bkz.</w:t>
      </w:r>
    </w:p>
    <w:p w14:paraId="1718F572" w14:textId="7BBD93AA" w:rsidR="00336E79" w:rsidRPr="003A1B10" w:rsidRDefault="00336E79" w:rsidP="003A1B10">
      <w:pPr>
        <w:pStyle w:val="FootnoteText"/>
        <w:ind w:left="0" w:right="0"/>
        <w:contextualSpacing/>
        <w:jc w:val="both"/>
        <w:rPr>
          <w:rFonts w:ascii="Times New Roman" w:hAnsi="Times New Roman"/>
        </w:rPr>
      </w:pPr>
      <w:r w:rsidRPr="003A1B10">
        <w:rPr>
          <w:rFonts w:ascii="Times New Roman" w:hAnsi="Times New Roman"/>
        </w:rPr>
        <w:t xml:space="preserve"> </w:t>
      </w:r>
      <w:hyperlink r:id="rId9" w:history="1">
        <w:r w:rsidRPr="003A1B10">
          <w:rPr>
            <w:rStyle w:val="Hyperlink"/>
            <w:rFonts w:ascii="Times New Roman" w:hAnsi="Times New Roman"/>
            <w:color w:val="auto"/>
            <w:u w:val="none"/>
          </w:rPr>
          <w:t>https://hunconcourt.hu/uploads/sites/3/2021/01/thefundamentallawofhungary_20201223_fin.pdf</w:t>
        </w:r>
      </w:hyperlink>
      <w:r w:rsidRPr="003A1B10">
        <w:rPr>
          <w:rFonts w:ascii="Times New Roman" w:hAnsi="Times New Roman"/>
        </w:rPr>
        <w:t>,e.t. 14.10.2021.</w:t>
      </w:r>
    </w:p>
  </w:footnote>
  <w:footnote w:id="31">
    <w:p w14:paraId="038FCE18" w14:textId="163B39E4"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Bkz. </w:t>
      </w:r>
      <w:proofErr w:type="spellStart"/>
      <w:r w:rsidRPr="003A1B10">
        <w:rPr>
          <w:rFonts w:ascii="Times New Roman" w:hAnsi="Times New Roman"/>
        </w:rPr>
        <w:t>Act</w:t>
      </w:r>
      <w:proofErr w:type="spellEnd"/>
      <w:r w:rsidRPr="003A1B10">
        <w:rPr>
          <w:rFonts w:ascii="Times New Roman" w:hAnsi="Times New Roman"/>
        </w:rPr>
        <w:t xml:space="preserve"> No. 12 of 2020 on </w:t>
      </w:r>
      <w:proofErr w:type="spellStart"/>
      <w:r w:rsidRPr="003A1B10">
        <w:rPr>
          <w:rFonts w:ascii="Times New Roman" w:hAnsi="Times New Roman"/>
        </w:rPr>
        <w:t>the</w:t>
      </w:r>
      <w:proofErr w:type="spellEnd"/>
      <w:r w:rsidRPr="003A1B10">
        <w:rPr>
          <w:rFonts w:ascii="Times New Roman" w:hAnsi="Times New Roman"/>
        </w:rPr>
        <w:t xml:space="preserve"> </w:t>
      </w:r>
      <w:proofErr w:type="spellStart"/>
      <w:r w:rsidRPr="003A1B10">
        <w:rPr>
          <w:rFonts w:ascii="Times New Roman" w:hAnsi="Times New Roman"/>
        </w:rPr>
        <w:t>Defence</w:t>
      </w:r>
      <w:proofErr w:type="spellEnd"/>
      <w:r w:rsidRPr="003A1B10">
        <w:rPr>
          <w:rFonts w:ascii="Times New Roman" w:hAnsi="Times New Roman"/>
        </w:rPr>
        <w:t xml:space="preserve"> </w:t>
      </w:r>
      <w:proofErr w:type="spellStart"/>
      <w:r w:rsidRPr="003A1B10">
        <w:rPr>
          <w:rFonts w:ascii="Times New Roman" w:hAnsi="Times New Roman"/>
        </w:rPr>
        <w:t>Against</w:t>
      </w:r>
      <w:proofErr w:type="spellEnd"/>
      <w:r w:rsidRPr="003A1B10">
        <w:rPr>
          <w:rFonts w:ascii="Times New Roman" w:hAnsi="Times New Roman"/>
        </w:rPr>
        <w:t xml:space="preserve"> </w:t>
      </w:r>
      <w:proofErr w:type="spellStart"/>
      <w:r w:rsidRPr="003A1B10">
        <w:rPr>
          <w:rFonts w:ascii="Times New Roman" w:hAnsi="Times New Roman"/>
        </w:rPr>
        <w:t>Coronavirus</w:t>
      </w:r>
      <w:proofErr w:type="spellEnd"/>
      <w:r w:rsidRPr="003A1B10">
        <w:rPr>
          <w:rFonts w:ascii="Times New Roman" w:hAnsi="Times New Roman"/>
        </w:rPr>
        <w:t xml:space="preserve">; </w:t>
      </w:r>
      <w:proofErr w:type="spellStart"/>
      <w:r w:rsidRPr="003A1B10">
        <w:rPr>
          <w:rFonts w:ascii="Times New Roman" w:hAnsi="Times New Roman"/>
        </w:rPr>
        <w:t>Gárdos-Orosz</w:t>
      </w:r>
      <w:proofErr w:type="spellEnd"/>
      <w:r w:rsidRPr="003A1B10">
        <w:rPr>
          <w:rFonts w:ascii="Times New Roman" w:hAnsi="Times New Roman"/>
        </w:rPr>
        <w:t>, s. 158.</w:t>
      </w:r>
    </w:p>
  </w:footnote>
  <w:footnote w:id="32">
    <w:p w14:paraId="394812E9" w14:textId="35725EB7"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Council</w:t>
      </w:r>
      <w:proofErr w:type="spellEnd"/>
      <w:r w:rsidRPr="003A1B10">
        <w:rPr>
          <w:rFonts w:ascii="Times New Roman" w:hAnsi="Times New Roman"/>
        </w:rPr>
        <w:t xml:space="preserve"> of Europe, </w:t>
      </w:r>
      <w:proofErr w:type="spellStart"/>
      <w:r w:rsidRPr="003A1B10">
        <w:rPr>
          <w:rFonts w:ascii="Times New Roman" w:hAnsi="Times New Roman"/>
        </w:rPr>
        <w:t>Respecting</w:t>
      </w:r>
      <w:proofErr w:type="spellEnd"/>
      <w:r w:rsidRPr="003A1B10">
        <w:rPr>
          <w:rFonts w:ascii="Times New Roman" w:hAnsi="Times New Roman"/>
        </w:rPr>
        <w:t xml:space="preserve"> </w:t>
      </w:r>
      <w:proofErr w:type="spellStart"/>
      <w:r w:rsidRPr="003A1B10">
        <w:rPr>
          <w:rFonts w:ascii="Times New Roman" w:hAnsi="Times New Roman"/>
        </w:rPr>
        <w:t>Democracy</w:t>
      </w:r>
      <w:proofErr w:type="spellEnd"/>
      <w:r w:rsidRPr="003A1B10">
        <w:rPr>
          <w:rFonts w:ascii="Times New Roman" w:hAnsi="Times New Roman"/>
        </w:rPr>
        <w:t xml:space="preserve">, </w:t>
      </w:r>
      <w:proofErr w:type="spellStart"/>
      <w:r w:rsidRPr="003A1B10">
        <w:rPr>
          <w:rFonts w:ascii="Times New Roman" w:hAnsi="Times New Roman"/>
        </w:rPr>
        <w:t>Rule</w:t>
      </w:r>
      <w:proofErr w:type="spellEnd"/>
      <w:r w:rsidRPr="003A1B10">
        <w:rPr>
          <w:rFonts w:ascii="Times New Roman" w:hAnsi="Times New Roman"/>
        </w:rPr>
        <w:t xml:space="preserve"> of </w:t>
      </w:r>
      <w:proofErr w:type="spellStart"/>
      <w:r w:rsidRPr="003A1B10">
        <w:rPr>
          <w:rFonts w:ascii="Times New Roman" w:hAnsi="Times New Roman"/>
        </w:rPr>
        <w:t>Law</w:t>
      </w:r>
      <w:proofErr w:type="spellEnd"/>
      <w:r w:rsidRPr="003A1B10">
        <w:rPr>
          <w:rFonts w:ascii="Times New Roman" w:hAnsi="Times New Roman"/>
        </w:rPr>
        <w:t xml:space="preserve"> </w:t>
      </w:r>
      <w:proofErr w:type="spellStart"/>
      <w:r w:rsidRPr="003A1B10">
        <w:rPr>
          <w:rFonts w:ascii="Times New Roman" w:hAnsi="Times New Roman"/>
        </w:rPr>
        <w:t>And</w:t>
      </w:r>
      <w:proofErr w:type="spellEnd"/>
      <w:r w:rsidRPr="003A1B10">
        <w:rPr>
          <w:rFonts w:ascii="Times New Roman" w:hAnsi="Times New Roman"/>
        </w:rPr>
        <w:t xml:space="preserve"> Human </w:t>
      </w:r>
      <w:proofErr w:type="spellStart"/>
      <w:r w:rsidRPr="003A1B10">
        <w:rPr>
          <w:rFonts w:ascii="Times New Roman" w:hAnsi="Times New Roman"/>
        </w:rPr>
        <w:t>Rights</w:t>
      </w:r>
      <w:proofErr w:type="spellEnd"/>
      <w:r w:rsidRPr="003A1B10">
        <w:rPr>
          <w:rFonts w:ascii="Times New Roman" w:hAnsi="Times New Roman"/>
        </w:rPr>
        <w:t xml:space="preserve"> in </w:t>
      </w:r>
      <w:proofErr w:type="spellStart"/>
      <w:r w:rsidRPr="003A1B10">
        <w:rPr>
          <w:rFonts w:ascii="Times New Roman" w:hAnsi="Times New Roman"/>
        </w:rPr>
        <w:t>the</w:t>
      </w:r>
      <w:proofErr w:type="spellEnd"/>
      <w:r w:rsidRPr="003A1B10">
        <w:rPr>
          <w:rFonts w:ascii="Times New Roman" w:hAnsi="Times New Roman"/>
        </w:rPr>
        <w:t xml:space="preserve"> Framework of </w:t>
      </w:r>
      <w:proofErr w:type="spellStart"/>
      <w:r w:rsidRPr="003A1B10">
        <w:rPr>
          <w:rFonts w:ascii="Times New Roman" w:hAnsi="Times New Roman"/>
        </w:rPr>
        <w:t>the</w:t>
      </w:r>
      <w:proofErr w:type="spellEnd"/>
      <w:r w:rsidRPr="003A1B10">
        <w:rPr>
          <w:rFonts w:ascii="Times New Roman" w:hAnsi="Times New Roman"/>
        </w:rPr>
        <w:t xml:space="preserve"> COVID-19 </w:t>
      </w:r>
      <w:proofErr w:type="spellStart"/>
      <w:r w:rsidRPr="003A1B10">
        <w:rPr>
          <w:rFonts w:ascii="Times New Roman" w:hAnsi="Times New Roman"/>
        </w:rPr>
        <w:t>Sanitary</w:t>
      </w:r>
      <w:proofErr w:type="spellEnd"/>
      <w:r w:rsidRPr="003A1B10">
        <w:rPr>
          <w:rFonts w:ascii="Times New Roman" w:hAnsi="Times New Roman"/>
        </w:rPr>
        <w:t xml:space="preserve"> </w:t>
      </w:r>
      <w:proofErr w:type="spellStart"/>
      <w:r w:rsidRPr="003A1B10">
        <w:rPr>
          <w:rFonts w:ascii="Times New Roman" w:hAnsi="Times New Roman"/>
        </w:rPr>
        <w:t>Crisis</w:t>
      </w:r>
      <w:proofErr w:type="spellEnd"/>
      <w:r w:rsidRPr="003A1B10">
        <w:rPr>
          <w:rFonts w:ascii="Times New Roman" w:hAnsi="Times New Roman"/>
        </w:rPr>
        <w:t xml:space="preserve">: A Toolkit </w:t>
      </w:r>
      <w:proofErr w:type="spellStart"/>
      <w:r w:rsidRPr="003A1B10">
        <w:rPr>
          <w:rFonts w:ascii="Times New Roman" w:hAnsi="Times New Roman"/>
        </w:rPr>
        <w:t>For</w:t>
      </w:r>
      <w:proofErr w:type="spellEnd"/>
      <w:r w:rsidRPr="003A1B10">
        <w:rPr>
          <w:rFonts w:ascii="Times New Roman" w:hAnsi="Times New Roman"/>
        </w:rPr>
        <w:t xml:space="preserve"> </w:t>
      </w:r>
      <w:proofErr w:type="spellStart"/>
      <w:r w:rsidRPr="003A1B10">
        <w:rPr>
          <w:rFonts w:ascii="Times New Roman" w:hAnsi="Times New Roman"/>
        </w:rPr>
        <w:t>Member</w:t>
      </w:r>
      <w:proofErr w:type="spellEnd"/>
      <w:r w:rsidRPr="003A1B10">
        <w:rPr>
          <w:rFonts w:ascii="Times New Roman" w:hAnsi="Times New Roman"/>
        </w:rPr>
        <w:t xml:space="preserve"> </w:t>
      </w:r>
      <w:proofErr w:type="spellStart"/>
      <w:r w:rsidRPr="003A1B10">
        <w:rPr>
          <w:rFonts w:ascii="Times New Roman" w:hAnsi="Times New Roman"/>
        </w:rPr>
        <w:t>States</w:t>
      </w:r>
      <w:proofErr w:type="spellEnd"/>
      <w:r w:rsidRPr="003A1B10">
        <w:rPr>
          <w:rFonts w:ascii="Times New Roman" w:hAnsi="Times New Roman"/>
        </w:rPr>
        <w:t>, s. 4.</w:t>
      </w:r>
    </w:p>
  </w:footnote>
  <w:footnote w:id="33">
    <w:p w14:paraId="1D0A4F76" w14:textId="14109B1A"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Venice</w:t>
      </w:r>
      <w:proofErr w:type="spellEnd"/>
      <w:r w:rsidRPr="003A1B10">
        <w:rPr>
          <w:rFonts w:ascii="Times New Roman" w:hAnsi="Times New Roman"/>
        </w:rPr>
        <w:t xml:space="preserve"> </w:t>
      </w:r>
      <w:proofErr w:type="spellStart"/>
      <w:r w:rsidRPr="003A1B10">
        <w:rPr>
          <w:rFonts w:ascii="Times New Roman" w:hAnsi="Times New Roman"/>
        </w:rPr>
        <w:t>Commission</w:t>
      </w:r>
      <w:proofErr w:type="spellEnd"/>
      <w:r w:rsidRPr="003A1B10">
        <w:rPr>
          <w:rFonts w:ascii="Times New Roman" w:hAnsi="Times New Roman"/>
        </w:rPr>
        <w:t>, “</w:t>
      </w:r>
      <w:proofErr w:type="spellStart"/>
      <w:r w:rsidRPr="003A1B10">
        <w:rPr>
          <w:rFonts w:ascii="Times New Roman" w:hAnsi="Times New Roman"/>
        </w:rPr>
        <w:t>Rule</w:t>
      </w:r>
      <w:proofErr w:type="spellEnd"/>
      <w:r w:rsidRPr="003A1B10">
        <w:rPr>
          <w:rFonts w:ascii="Times New Roman" w:hAnsi="Times New Roman"/>
        </w:rPr>
        <w:t xml:space="preserve"> of </w:t>
      </w:r>
      <w:proofErr w:type="spellStart"/>
      <w:r w:rsidRPr="003A1B10">
        <w:rPr>
          <w:rFonts w:ascii="Times New Roman" w:hAnsi="Times New Roman"/>
        </w:rPr>
        <w:t>Law</w:t>
      </w:r>
      <w:proofErr w:type="spellEnd"/>
      <w:r w:rsidRPr="003A1B10">
        <w:rPr>
          <w:rFonts w:ascii="Times New Roman" w:hAnsi="Times New Roman"/>
        </w:rPr>
        <w:t xml:space="preserve"> </w:t>
      </w:r>
      <w:proofErr w:type="spellStart"/>
      <w:r w:rsidRPr="003A1B10">
        <w:rPr>
          <w:rFonts w:ascii="Times New Roman" w:hAnsi="Times New Roman"/>
        </w:rPr>
        <w:t>Checklist</w:t>
      </w:r>
      <w:proofErr w:type="spellEnd"/>
      <w:r w:rsidRPr="003A1B10">
        <w:rPr>
          <w:rFonts w:ascii="Times New Roman" w:hAnsi="Times New Roman"/>
        </w:rPr>
        <w:t xml:space="preserve">”, CDL-AD (2016)007, 18.03.2016, para. 51, </w:t>
      </w:r>
      <w:hyperlink r:id="rId10" w:history="1">
        <w:r w:rsidRPr="003A1B10">
          <w:rPr>
            <w:rStyle w:val="Hyperlink"/>
            <w:rFonts w:ascii="Times New Roman" w:hAnsi="Times New Roman"/>
            <w:color w:val="auto"/>
            <w:u w:val="none"/>
          </w:rPr>
          <w:t>https://www.venice.coe.int/webforms/documents/default.aspx?pdffile=CDL-AD(2016)007-tur</w:t>
        </w:r>
      </w:hyperlink>
      <w:r w:rsidRPr="003A1B10">
        <w:rPr>
          <w:rFonts w:ascii="Times New Roman" w:hAnsi="Times New Roman"/>
        </w:rPr>
        <w:t xml:space="preserve">, e.t. 14.10.2021; </w:t>
      </w:r>
      <w:proofErr w:type="spellStart"/>
      <w:r w:rsidRPr="003A1B10">
        <w:rPr>
          <w:rFonts w:ascii="Times New Roman" w:hAnsi="Times New Roman"/>
        </w:rPr>
        <w:t>Venice</w:t>
      </w:r>
      <w:proofErr w:type="spellEnd"/>
      <w:r w:rsidRPr="003A1B10">
        <w:rPr>
          <w:rFonts w:ascii="Times New Roman" w:hAnsi="Times New Roman"/>
        </w:rPr>
        <w:t xml:space="preserve"> </w:t>
      </w:r>
      <w:proofErr w:type="spellStart"/>
      <w:r w:rsidRPr="003A1B10">
        <w:rPr>
          <w:rFonts w:ascii="Times New Roman" w:hAnsi="Times New Roman"/>
        </w:rPr>
        <w:t>Commission</w:t>
      </w:r>
      <w:proofErr w:type="spellEnd"/>
      <w:r w:rsidRPr="003A1B10">
        <w:rPr>
          <w:rFonts w:ascii="Times New Roman" w:hAnsi="Times New Roman"/>
        </w:rPr>
        <w:t xml:space="preserve">, “On </w:t>
      </w:r>
      <w:proofErr w:type="spellStart"/>
      <w:r w:rsidRPr="003A1B10">
        <w:rPr>
          <w:rFonts w:ascii="Times New Roman" w:hAnsi="Times New Roman"/>
        </w:rPr>
        <w:t>Pace</w:t>
      </w:r>
      <w:proofErr w:type="spellEnd"/>
      <w:r w:rsidRPr="003A1B10">
        <w:rPr>
          <w:rFonts w:ascii="Times New Roman" w:hAnsi="Times New Roman"/>
        </w:rPr>
        <w:t xml:space="preserve"> </w:t>
      </w:r>
      <w:proofErr w:type="spellStart"/>
      <w:r w:rsidRPr="003A1B10">
        <w:rPr>
          <w:rFonts w:ascii="Times New Roman" w:hAnsi="Times New Roman"/>
        </w:rPr>
        <w:t>Recommendation</w:t>
      </w:r>
      <w:proofErr w:type="spellEnd"/>
      <w:r w:rsidRPr="003A1B10">
        <w:rPr>
          <w:rFonts w:ascii="Times New Roman" w:hAnsi="Times New Roman"/>
        </w:rPr>
        <w:t xml:space="preserve"> 1713(2005) on </w:t>
      </w:r>
      <w:proofErr w:type="spellStart"/>
      <w:r w:rsidRPr="003A1B10">
        <w:rPr>
          <w:rFonts w:ascii="Times New Roman" w:hAnsi="Times New Roman"/>
        </w:rPr>
        <w:t>Democratic</w:t>
      </w:r>
      <w:proofErr w:type="spellEnd"/>
      <w:r w:rsidRPr="003A1B10">
        <w:rPr>
          <w:rFonts w:ascii="Times New Roman" w:hAnsi="Times New Roman"/>
        </w:rPr>
        <w:t xml:space="preserve"> </w:t>
      </w:r>
      <w:proofErr w:type="spellStart"/>
      <w:r w:rsidRPr="003A1B10">
        <w:rPr>
          <w:rFonts w:ascii="Times New Roman" w:hAnsi="Times New Roman"/>
        </w:rPr>
        <w:t>Oversight</w:t>
      </w:r>
      <w:proofErr w:type="spellEnd"/>
      <w:r w:rsidRPr="003A1B10">
        <w:rPr>
          <w:rFonts w:ascii="Times New Roman" w:hAnsi="Times New Roman"/>
        </w:rPr>
        <w:t xml:space="preserve"> of </w:t>
      </w:r>
      <w:proofErr w:type="spellStart"/>
      <w:r w:rsidRPr="003A1B10">
        <w:rPr>
          <w:rFonts w:ascii="Times New Roman" w:hAnsi="Times New Roman"/>
        </w:rPr>
        <w:t>the</w:t>
      </w:r>
      <w:proofErr w:type="spellEnd"/>
      <w:r w:rsidRPr="003A1B10">
        <w:rPr>
          <w:rFonts w:ascii="Times New Roman" w:hAnsi="Times New Roman"/>
        </w:rPr>
        <w:t xml:space="preserve"> Security </w:t>
      </w:r>
      <w:proofErr w:type="spellStart"/>
      <w:r w:rsidRPr="003A1B10">
        <w:rPr>
          <w:rFonts w:ascii="Times New Roman" w:hAnsi="Times New Roman"/>
        </w:rPr>
        <w:t>Sector</w:t>
      </w:r>
      <w:proofErr w:type="spellEnd"/>
      <w:r w:rsidRPr="003A1B10">
        <w:rPr>
          <w:rFonts w:ascii="Times New Roman" w:hAnsi="Times New Roman"/>
        </w:rPr>
        <w:t xml:space="preserve"> in </w:t>
      </w:r>
      <w:proofErr w:type="spellStart"/>
      <w:r w:rsidRPr="003A1B10">
        <w:rPr>
          <w:rFonts w:ascii="Times New Roman" w:hAnsi="Times New Roman"/>
        </w:rPr>
        <w:t>Member</w:t>
      </w:r>
      <w:proofErr w:type="spellEnd"/>
      <w:r w:rsidRPr="003A1B10">
        <w:rPr>
          <w:rFonts w:ascii="Times New Roman" w:hAnsi="Times New Roman"/>
        </w:rPr>
        <w:t xml:space="preserve"> </w:t>
      </w:r>
      <w:proofErr w:type="spellStart"/>
      <w:r w:rsidRPr="003A1B10">
        <w:rPr>
          <w:rFonts w:ascii="Times New Roman" w:hAnsi="Times New Roman"/>
        </w:rPr>
        <w:t>States</w:t>
      </w:r>
      <w:proofErr w:type="spellEnd"/>
      <w:r w:rsidRPr="003A1B10">
        <w:rPr>
          <w:rFonts w:ascii="Times New Roman" w:hAnsi="Times New Roman"/>
        </w:rPr>
        <w:t>”, CDL-</w:t>
      </w:r>
      <w:proofErr w:type="gramStart"/>
      <w:r w:rsidRPr="003A1B10">
        <w:rPr>
          <w:rFonts w:ascii="Times New Roman" w:hAnsi="Times New Roman"/>
        </w:rPr>
        <w:t>AD(</w:t>
      </w:r>
      <w:proofErr w:type="gramEnd"/>
      <w:r w:rsidRPr="003A1B10">
        <w:rPr>
          <w:rFonts w:ascii="Times New Roman" w:hAnsi="Times New Roman"/>
        </w:rPr>
        <w:t xml:space="preserve">2005)033, 27.10.2005, </w:t>
      </w:r>
      <w:r w:rsidRPr="003A1B10">
        <w:rPr>
          <w:rStyle w:val="markedcontent"/>
          <w:rFonts w:ascii="Times New Roman" w:hAnsi="Times New Roman"/>
        </w:rPr>
        <w:t>s. 38.</w:t>
      </w:r>
    </w:p>
  </w:footnote>
  <w:footnote w:id="34">
    <w:p w14:paraId="482CFB63" w14:textId="2470938C"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Bkz. </w:t>
      </w:r>
      <w:proofErr w:type="spellStart"/>
      <w:r w:rsidRPr="003A1B10">
        <w:rPr>
          <w:rFonts w:ascii="Times New Roman" w:hAnsi="Times New Roman"/>
        </w:rPr>
        <w:t>Gábor</w:t>
      </w:r>
      <w:proofErr w:type="spellEnd"/>
      <w:r w:rsidRPr="003A1B10">
        <w:rPr>
          <w:rFonts w:ascii="Times New Roman" w:hAnsi="Times New Roman"/>
        </w:rPr>
        <w:t xml:space="preserve"> </w:t>
      </w:r>
      <w:proofErr w:type="spellStart"/>
      <w:r w:rsidRPr="003A1B10">
        <w:rPr>
          <w:rFonts w:ascii="Times New Roman" w:hAnsi="Times New Roman"/>
        </w:rPr>
        <w:t>Halmai</w:t>
      </w:r>
      <w:proofErr w:type="spellEnd"/>
      <w:r w:rsidRPr="003A1B10">
        <w:rPr>
          <w:rFonts w:ascii="Times New Roman" w:hAnsi="Times New Roman"/>
        </w:rPr>
        <w:t>, “</w:t>
      </w:r>
      <w:r w:rsidRPr="003A1B10">
        <w:rPr>
          <w:rStyle w:val="Emphasis"/>
          <w:rFonts w:ascii="Times New Roman" w:hAnsi="Times New Roman"/>
          <w:i w:val="0"/>
          <w:iCs w:val="0"/>
        </w:rPr>
        <w:t xml:space="preserve">How COVID-19 </w:t>
      </w:r>
      <w:proofErr w:type="spellStart"/>
      <w:r w:rsidRPr="003A1B10">
        <w:rPr>
          <w:rStyle w:val="Emphasis"/>
          <w:rFonts w:ascii="Times New Roman" w:hAnsi="Times New Roman"/>
          <w:i w:val="0"/>
          <w:iCs w:val="0"/>
        </w:rPr>
        <w:t>Unveils</w:t>
      </w:r>
      <w:proofErr w:type="spellEnd"/>
      <w:r w:rsidRPr="003A1B10">
        <w:rPr>
          <w:rStyle w:val="Emphasis"/>
          <w:rFonts w:ascii="Times New Roman" w:hAnsi="Times New Roman"/>
          <w:i w:val="0"/>
          <w:iCs w:val="0"/>
        </w:rPr>
        <w:t xml:space="preserve"> </w:t>
      </w:r>
      <w:proofErr w:type="spellStart"/>
      <w:r w:rsidRPr="003A1B10">
        <w:rPr>
          <w:rStyle w:val="Emphasis"/>
          <w:rFonts w:ascii="Times New Roman" w:hAnsi="Times New Roman"/>
          <w:i w:val="0"/>
          <w:iCs w:val="0"/>
        </w:rPr>
        <w:t>the</w:t>
      </w:r>
      <w:proofErr w:type="spellEnd"/>
      <w:r w:rsidRPr="003A1B10">
        <w:rPr>
          <w:rStyle w:val="Emphasis"/>
          <w:rFonts w:ascii="Times New Roman" w:hAnsi="Times New Roman"/>
          <w:i w:val="0"/>
          <w:iCs w:val="0"/>
        </w:rPr>
        <w:t xml:space="preserve"> True </w:t>
      </w:r>
      <w:proofErr w:type="spellStart"/>
      <w:r w:rsidRPr="003A1B10">
        <w:rPr>
          <w:rStyle w:val="Emphasis"/>
          <w:rFonts w:ascii="Times New Roman" w:hAnsi="Times New Roman"/>
          <w:i w:val="0"/>
          <w:iCs w:val="0"/>
        </w:rPr>
        <w:t>Autocrats</w:t>
      </w:r>
      <w:proofErr w:type="spellEnd"/>
      <w:r w:rsidRPr="003A1B10">
        <w:rPr>
          <w:rStyle w:val="Emphasis"/>
          <w:rFonts w:ascii="Times New Roman" w:hAnsi="Times New Roman"/>
          <w:i w:val="0"/>
          <w:iCs w:val="0"/>
        </w:rPr>
        <w:t>:</w:t>
      </w:r>
      <w:r w:rsidRPr="003A1B10">
        <w:rPr>
          <w:rFonts w:ascii="Times New Roman" w:hAnsi="Times New Roman"/>
          <w:i/>
          <w:iCs/>
        </w:rPr>
        <w:t xml:space="preserve"> </w:t>
      </w:r>
      <w:proofErr w:type="spellStart"/>
      <w:r w:rsidRPr="003A1B10">
        <w:rPr>
          <w:rStyle w:val="Emphasis"/>
          <w:rFonts w:ascii="Times New Roman" w:hAnsi="Times New Roman"/>
          <w:i w:val="0"/>
          <w:iCs w:val="0"/>
        </w:rPr>
        <w:t>Viktor</w:t>
      </w:r>
      <w:proofErr w:type="spellEnd"/>
      <w:r w:rsidRPr="003A1B10">
        <w:rPr>
          <w:rStyle w:val="Emphasis"/>
          <w:rFonts w:ascii="Times New Roman" w:hAnsi="Times New Roman"/>
          <w:i w:val="0"/>
          <w:iCs w:val="0"/>
        </w:rPr>
        <w:t xml:space="preserve"> </w:t>
      </w:r>
      <w:proofErr w:type="spellStart"/>
      <w:r w:rsidRPr="003A1B10">
        <w:rPr>
          <w:rStyle w:val="Emphasis"/>
          <w:rFonts w:ascii="Times New Roman" w:hAnsi="Times New Roman"/>
          <w:i w:val="0"/>
          <w:iCs w:val="0"/>
        </w:rPr>
        <w:t>Orbán’s</w:t>
      </w:r>
      <w:proofErr w:type="spellEnd"/>
      <w:r w:rsidRPr="003A1B10">
        <w:rPr>
          <w:rStyle w:val="Emphasis"/>
          <w:rFonts w:ascii="Times New Roman" w:hAnsi="Times New Roman"/>
          <w:i w:val="0"/>
          <w:iCs w:val="0"/>
        </w:rPr>
        <w:t xml:space="preserve"> </w:t>
      </w:r>
      <w:proofErr w:type="spellStart"/>
      <w:r w:rsidRPr="003A1B10">
        <w:rPr>
          <w:rStyle w:val="Emphasis"/>
          <w:rFonts w:ascii="Times New Roman" w:hAnsi="Times New Roman"/>
          <w:i w:val="0"/>
          <w:iCs w:val="0"/>
        </w:rPr>
        <w:t>Ermächtigungsgesetz</w:t>
      </w:r>
      <w:proofErr w:type="spellEnd"/>
      <w:r w:rsidRPr="003A1B10">
        <w:rPr>
          <w:rStyle w:val="Emphasis"/>
          <w:rFonts w:ascii="Times New Roman" w:hAnsi="Times New Roman"/>
          <w:i w:val="0"/>
          <w:iCs w:val="0"/>
        </w:rPr>
        <w:t>”</w:t>
      </w:r>
      <w:r w:rsidRPr="003A1B10">
        <w:rPr>
          <w:rFonts w:ascii="Times New Roman" w:hAnsi="Times New Roman"/>
          <w:i/>
          <w:iCs/>
        </w:rPr>
        <w:t>,</w:t>
      </w:r>
      <w:r w:rsidRPr="003A1B10">
        <w:rPr>
          <w:rFonts w:ascii="Times New Roman" w:hAnsi="Times New Roman"/>
        </w:rPr>
        <w:t xml:space="preserve"> </w:t>
      </w:r>
      <w:r w:rsidRPr="003A1B10">
        <w:rPr>
          <w:rFonts w:ascii="Times New Roman" w:hAnsi="Times New Roman"/>
          <w:i/>
          <w:iCs/>
        </w:rPr>
        <w:t xml:space="preserve">International </w:t>
      </w:r>
      <w:proofErr w:type="spellStart"/>
      <w:r w:rsidRPr="003A1B10">
        <w:rPr>
          <w:rFonts w:ascii="Times New Roman" w:hAnsi="Times New Roman"/>
          <w:i/>
          <w:iCs/>
        </w:rPr>
        <w:t>Journal</w:t>
      </w:r>
      <w:proofErr w:type="spellEnd"/>
      <w:r w:rsidRPr="003A1B10">
        <w:rPr>
          <w:rFonts w:ascii="Times New Roman" w:hAnsi="Times New Roman"/>
          <w:i/>
          <w:iCs/>
        </w:rPr>
        <w:t xml:space="preserve"> of </w:t>
      </w:r>
      <w:proofErr w:type="spellStart"/>
      <w:r w:rsidRPr="003A1B10">
        <w:rPr>
          <w:rFonts w:ascii="Times New Roman" w:hAnsi="Times New Roman"/>
          <w:i/>
          <w:iCs/>
        </w:rPr>
        <w:t>Constitutional</w:t>
      </w:r>
      <w:proofErr w:type="spellEnd"/>
      <w:r w:rsidRPr="003A1B10">
        <w:rPr>
          <w:rFonts w:ascii="Times New Roman" w:hAnsi="Times New Roman"/>
          <w:i/>
          <w:iCs/>
        </w:rPr>
        <w:t xml:space="preserve"> </w:t>
      </w:r>
      <w:proofErr w:type="spellStart"/>
      <w:r w:rsidRPr="003A1B10">
        <w:rPr>
          <w:rFonts w:ascii="Times New Roman" w:hAnsi="Times New Roman"/>
          <w:i/>
          <w:iCs/>
        </w:rPr>
        <w:t>Law</w:t>
      </w:r>
      <w:proofErr w:type="spellEnd"/>
      <w:r w:rsidRPr="003A1B10">
        <w:rPr>
          <w:rFonts w:ascii="Times New Roman" w:hAnsi="Times New Roman"/>
          <w:i/>
          <w:iCs/>
        </w:rPr>
        <w:t xml:space="preserve"> </w:t>
      </w:r>
      <w:proofErr w:type="spellStart"/>
      <w:r w:rsidRPr="003A1B10">
        <w:rPr>
          <w:rFonts w:ascii="Times New Roman" w:hAnsi="Times New Roman"/>
          <w:i/>
          <w:iCs/>
        </w:rPr>
        <w:t>Blog</w:t>
      </w:r>
      <w:proofErr w:type="spellEnd"/>
      <w:r w:rsidRPr="003A1B10">
        <w:rPr>
          <w:rFonts w:ascii="Times New Roman" w:hAnsi="Times New Roman"/>
        </w:rPr>
        <w:t xml:space="preserve">, </w:t>
      </w:r>
      <w:proofErr w:type="spellStart"/>
      <w:r w:rsidRPr="003A1B10">
        <w:rPr>
          <w:rFonts w:ascii="Times New Roman" w:hAnsi="Times New Roman"/>
        </w:rPr>
        <w:t>Apr</w:t>
      </w:r>
      <w:proofErr w:type="spellEnd"/>
      <w:r w:rsidRPr="003A1B10">
        <w:rPr>
          <w:rFonts w:ascii="Times New Roman" w:hAnsi="Times New Roman"/>
        </w:rPr>
        <w:t xml:space="preserve">. 1, 2020, at: </w:t>
      </w:r>
      <w:hyperlink r:id="rId11" w:history="1">
        <w:r w:rsidRPr="003A1B10">
          <w:rPr>
            <w:rStyle w:val="Hyperlink"/>
            <w:rFonts w:ascii="Times New Roman" w:hAnsi="Times New Roman"/>
            <w:color w:val="auto"/>
            <w:u w:val="none"/>
          </w:rPr>
          <w:t>http://www.iconnectblog.com/2020/04/how-covid-19-unveils-the-true-autocrats-viktor-orbans-ermachtigungsgesetz/</w:t>
        </w:r>
      </w:hyperlink>
      <w:r w:rsidRPr="003A1B10">
        <w:rPr>
          <w:rFonts w:ascii="Times New Roman" w:hAnsi="Times New Roman"/>
        </w:rPr>
        <w:t xml:space="preserve">, e.t. 11.10.2021; </w:t>
      </w:r>
      <w:proofErr w:type="spellStart"/>
      <w:r w:rsidRPr="003A1B10">
        <w:rPr>
          <w:rFonts w:ascii="Times New Roman" w:hAnsi="Times New Roman"/>
        </w:rPr>
        <w:t>Gárdos-Orosz</w:t>
      </w:r>
      <w:proofErr w:type="spellEnd"/>
      <w:r w:rsidRPr="003A1B10">
        <w:rPr>
          <w:rFonts w:ascii="Times New Roman" w:hAnsi="Times New Roman"/>
        </w:rPr>
        <w:t>, s. 162 vd.</w:t>
      </w:r>
    </w:p>
  </w:footnote>
  <w:footnote w:id="35">
    <w:p w14:paraId="11FB43AE" w14:textId="77777777"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lang w:eastAsia="tr-TR"/>
        </w:rPr>
        <w:t>Act</w:t>
      </w:r>
      <w:proofErr w:type="spellEnd"/>
      <w:r w:rsidRPr="003A1B10">
        <w:rPr>
          <w:rFonts w:ascii="Times New Roman" w:hAnsi="Times New Roman"/>
          <w:lang w:eastAsia="tr-TR"/>
        </w:rPr>
        <w:t xml:space="preserve"> No. 208 of 17 </w:t>
      </w:r>
      <w:proofErr w:type="spellStart"/>
      <w:r w:rsidRPr="003A1B10">
        <w:rPr>
          <w:rFonts w:ascii="Times New Roman" w:hAnsi="Times New Roman"/>
          <w:lang w:eastAsia="tr-TR"/>
        </w:rPr>
        <w:t>March</w:t>
      </w:r>
      <w:proofErr w:type="spellEnd"/>
      <w:r w:rsidRPr="003A1B10">
        <w:rPr>
          <w:rFonts w:ascii="Times New Roman" w:hAnsi="Times New Roman"/>
          <w:lang w:eastAsia="tr-TR"/>
        </w:rPr>
        <w:t xml:space="preserve"> 2020.</w:t>
      </w:r>
    </w:p>
  </w:footnote>
  <w:footnote w:id="36">
    <w:p w14:paraId="7045C389" w14:textId="7173DD9E" w:rsidR="00336E79" w:rsidRPr="003A1B10" w:rsidRDefault="00336E79" w:rsidP="003A1B10">
      <w:pPr>
        <w:pStyle w:val="FootnoteText"/>
        <w:ind w:left="0" w:right="0"/>
        <w:contextualSpacing/>
        <w:jc w:val="both"/>
        <w:rPr>
          <w:rFonts w:ascii="Times New Roman" w:hAnsi="Times New Roman"/>
        </w:rPr>
      </w:pPr>
      <w:r w:rsidRPr="003A1B10">
        <w:rPr>
          <w:rFonts w:ascii="Times New Roman" w:hAnsi="Times New Roman"/>
        </w:rPr>
        <w:t xml:space="preserve"> </w:t>
      </w: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Sune</w:t>
      </w:r>
      <w:proofErr w:type="spellEnd"/>
      <w:r w:rsidRPr="003A1B10">
        <w:rPr>
          <w:rFonts w:ascii="Times New Roman" w:hAnsi="Times New Roman"/>
        </w:rPr>
        <w:t xml:space="preserve"> </w:t>
      </w:r>
      <w:proofErr w:type="spellStart"/>
      <w:r w:rsidRPr="003A1B10">
        <w:rPr>
          <w:rFonts w:ascii="Times New Roman" w:hAnsi="Times New Roman"/>
        </w:rPr>
        <w:t>Klinge</w:t>
      </w:r>
      <w:proofErr w:type="spellEnd"/>
      <w:r w:rsidRPr="003A1B10">
        <w:rPr>
          <w:rFonts w:ascii="Times New Roman" w:hAnsi="Times New Roman"/>
        </w:rPr>
        <w:t xml:space="preserve"> &amp; </w:t>
      </w:r>
      <w:proofErr w:type="spellStart"/>
      <w:r w:rsidRPr="003A1B10">
        <w:rPr>
          <w:rFonts w:ascii="Times New Roman" w:hAnsi="Times New Roman"/>
        </w:rPr>
        <w:t>Helle</w:t>
      </w:r>
      <w:proofErr w:type="spellEnd"/>
      <w:r w:rsidRPr="003A1B10">
        <w:rPr>
          <w:rFonts w:ascii="Times New Roman" w:hAnsi="Times New Roman"/>
        </w:rPr>
        <w:t xml:space="preserve"> </w:t>
      </w:r>
      <w:proofErr w:type="spellStart"/>
      <w:r w:rsidRPr="003A1B10">
        <w:rPr>
          <w:rFonts w:ascii="Times New Roman" w:hAnsi="Times New Roman"/>
        </w:rPr>
        <w:t>Krunke</w:t>
      </w:r>
      <w:proofErr w:type="spellEnd"/>
      <w:r w:rsidRPr="003A1B10">
        <w:rPr>
          <w:rFonts w:ascii="Times New Roman" w:hAnsi="Times New Roman"/>
        </w:rPr>
        <w:t xml:space="preserve"> &amp; </w:t>
      </w:r>
      <w:proofErr w:type="spellStart"/>
      <w:r w:rsidRPr="003A1B10">
        <w:rPr>
          <w:rFonts w:ascii="Times New Roman" w:hAnsi="Times New Roman"/>
        </w:rPr>
        <w:t>Annemette</w:t>
      </w:r>
      <w:proofErr w:type="spellEnd"/>
      <w:r w:rsidRPr="003A1B10">
        <w:rPr>
          <w:rFonts w:ascii="Times New Roman" w:hAnsi="Times New Roman"/>
        </w:rPr>
        <w:t xml:space="preserve"> </w:t>
      </w:r>
      <w:proofErr w:type="spellStart"/>
      <w:r w:rsidRPr="003A1B10">
        <w:rPr>
          <w:rFonts w:ascii="Times New Roman" w:hAnsi="Times New Roman"/>
        </w:rPr>
        <w:t>Fallentin</w:t>
      </w:r>
      <w:proofErr w:type="spellEnd"/>
      <w:r w:rsidRPr="003A1B10">
        <w:rPr>
          <w:rFonts w:ascii="Times New Roman" w:hAnsi="Times New Roman"/>
        </w:rPr>
        <w:t xml:space="preserve"> </w:t>
      </w:r>
      <w:proofErr w:type="spellStart"/>
      <w:r w:rsidRPr="003A1B10">
        <w:rPr>
          <w:rFonts w:ascii="Times New Roman" w:hAnsi="Times New Roman"/>
        </w:rPr>
        <w:t>Nyborg</w:t>
      </w:r>
      <w:proofErr w:type="spellEnd"/>
      <w:r w:rsidRPr="003A1B10">
        <w:rPr>
          <w:rFonts w:ascii="Times New Roman" w:hAnsi="Times New Roman"/>
        </w:rPr>
        <w:t xml:space="preserve"> &amp; </w:t>
      </w:r>
      <w:proofErr w:type="spellStart"/>
      <w:r w:rsidRPr="003A1B10">
        <w:rPr>
          <w:rFonts w:ascii="Times New Roman" w:hAnsi="Times New Roman"/>
        </w:rPr>
        <w:t>Jens</w:t>
      </w:r>
      <w:proofErr w:type="spellEnd"/>
      <w:r w:rsidRPr="003A1B10">
        <w:rPr>
          <w:rFonts w:ascii="Times New Roman" w:hAnsi="Times New Roman"/>
        </w:rPr>
        <w:t xml:space="preserve"> </w:t>
      </w:r>
      <w:proofErr w:type="spellStart"/>
      <w:r w:rsidRPr="003A1B10">
        <w:rPr>
          <w:rFonts w:ascii="Times New Roman" w:hAnsi="Times New Roman"/>
        </w:rPr>
        <w:t>Elo</w:t>
      </w:r>
      <w:proofErr w:type="spellEnd"/>
      <w:r w:rsidRPr="003A1B10">
        <w:rPr>
          <w:rFonts w:ascii="Times New Roman" w:hAnsi="Times New Roman"/>
        </w:rPr>
        <w:t xml:space="preserve"> </w:t>
      </w:r>
      <w:proofErr w:type="spellStart"/>
      <w:r w:rsidRPr="003A1B10">
        <w:rPr>
          <w:rFonts w:ascii="Times New Roman" w:hAnsi="Times New Roman"/>
        </w:rPr>
        <w:t>Rytter</w:t>
      </w:r>
      <w:proofErr w:type="spellEnd"/>
      <w:r w:rsidRPr="003A1B10">
        <w:rPr>
          <w:rFonts w:ascii="Times New Roman" w:hAnsi="Times New Roman"/>
        </w:rPr>
        <w:t xml:space="preserve">, “Covid-19 </w:t>
      </w:r>
      <w:proofErr w:type="spellStart"/>
      <w:r w:rsidRPr="003A1B10">
        <w:rPr>
          <w:rFonts w:ascii="Times New Roman" w:hAnsi="Times New Roman"/>
        </w:rPr>
        <w:t>and</w:t>
      </w:r>
      <w:proofErr w:type="spellEnd"/>
      <w:r w:rsidRPr="003A1B10">
        <w:rPr>
          <w:rFonts w:ascii="Times New Roman" w:hAnsi="Times New Roman"/>
        </w:rPr>
        <w:t xml:space="preserve"> </w:t>
      </w:r>
      <w:proofErr w:type="spellStart"/>
      <w:r w:rsidRPr="003A1B10">
        <w:rPr>
          <w:rFonts w:ascii="Times New Roman" w:hAnsi="Times New Roman"/>
        </w:rPr>
        <w:t>Constitutional</w:t>
      </w:r>
      <w:proofErr w:type="spellEnd"/>
      <w:r w:rsidRPr="003A1B10">
        <w:rPr>
          <w:rFonts w:ascii="Times New Roman" w:hAnsi="Times New Roman"/>
        </w:rPr>
        <w:t xml:space="preserve"> </w:t>
      </w:r>
      <w:proofErr w:type="spellStart"/>
      <w:r w:rsidRPr="003A1B10">
        <w:rPr>
          <w:rFonts w:ascii="Times New Roman" w:hAnsi="Times New Roman"/>
        </w:rPr>
        <w:t>Law</w:t>
      </w:r>
      <w:proofErr w:type="spellEnd"/>
      <w:r w:rsidRPr="003A1B10">
        <w:rPr>
          <w:rFonts w:ascii="Times New Roman" w:hAnsi="Times New Roman"/>
        </w:rPr>
        <w:t xml:space="preserve"> in </w:t>
      </w:r>
      <w:proofErr w:type="spellStart"/>
      <w:r w:rsidRPr="003A1B10">
        <w:rPr>
          <w:rFonts w:ascii="Times New Roman" w:hAnsi="Times New Roman"/>
        </w:rPr>
        <w:t>Denmark</w:t>
      </w:r>
      <w:proofErr w:type="spellEnd"/>
      <w:r w:rsidRPr="003A1B10">
        <w:rPr>
          <w:rFonts w:ascii="Times New Roman" w:hAnsi="Times New Roman"/>
        </w:rPr>
        <w:t xml:space="preserve">”, </w:t>
      </w:r>
      <w:r w:rsidRPr="003A1B10">
        <w:rPr>
          <w:rFonts w:ascii="Times New Roman" w:hAnsi="Times New Roman"/>
          <w:i/>
          <w:iCs/>
        </w:rPr>
        <w:t xml:space="preserve">Covid-19 </w:t>
      </w:r>
      <w:proofErr w:type="spellStart"/>
      <w:r w:rsidRPr="003A1B10">
        <w:rPr>
          <w:rFonts w:ascii="Times New Roman" w:hAnsi="Times New Roman"/>
          <w:i/>
          <w:iCs/>
        </w:rPr>
        <w:t>and</w:t>
      </w:r>
      <w:proofErr w:type="spellEnd"/>
      <w:r w:rsidRPr="003A1B10">
        <w:rPr>
          <w:rFonts w:ascii="Times New Roman" w:hAnsi="Times New Roman"/>
          <w:i/>
          <w:iCs/>
        </w:rPr>
        <w:t xml:space="preserve"> </w:t>
      </w:r>
      <w:proofErr w:type="spellStart"/>
      <w:r w:rsidRPr="003A1B10">
        <w:rPr>
          <w:rFonts w:ascii="Times New Roman" w:hAnsi="Times New Roman"/>
          <w:i/>
          <w:iCs/>
        </w:rPr>
        <w:t>Constitutional</w:t>
      </w:r>
      <w:proofErr w:type="spellEnd"/>
      <w:r w:rsidRPr="003A1B10">
        <w:rPr>
          <w:rFonts w:ascii="Times New Roman" w:hAnsi="Times New Roman"/>
          <w:i/>
          <w:iCs/>
        </w:rPr>
        <w:t xml:space="preserve"> </w:t>
      </w:r>
      <w:proofErr w:type="spellStart"/>
      <w:r w:rsidRPr="003A1B10">
        <w:rPr>
          <w:rFonts w:ascii="Times New Roman" w:hAnsi="Times New Roman"/>
          <w:i/>
          <w:iCs/>
        </w:rPr>
        <w:t>Law</w:t>
      </w:r>
      <w:proofErr w:type="spellEnd"/>
      <w:r w:rsidRPr="003A1B10">
        <w:rPr>
          <w:rFonts w:ascii="Times New Roman" w:hAnsi="Times New Roman"/>
        </w:rPr>
        <w:t xml:space="preserve"> (ed. </w:t>
      </w:r>
      <w:proofErr w:type="spellStart"/>
      <w:r w:rsidRPr="003A1B10">
        <w:rPr>
          <w:rFonts w:ascii="Times New Roman" w:hAnsi="Times New Roman"/>
        </w:rPr>
        <w:t>Serna</w:t>
      </w:r>
      <w:proofErr w:type="spellEnd"/>
      <w:r w:rsidRPr="003A1B10">
        <w:rPr>
          <w:rFonts w:ascii="Times New Roman" w:hAnsi="Times New Roman"/>
        </w:rPr>
        <w:t xml:space="preserve"> de la </w:t>
      </w:r>
      <w:proofErr w:type="spellStart"/>
      <w:r w:rsidRPr="003A1B10">
        <w:rPr>
          <w:rFonts w:ascii="Times New Roman" w:hAnsi="Times New Roman"/>
        </w:rPr>
        <w:t>Garza</w:t>
      </w:r>
      <w:proofErr w:type="spellEnd"/>
      <w:r w:rsidRPr="003A1B10">
        <w:rPr>
          <w:rFonts w:ascii="Times New Roman" w:hAnsi="Times New Roman"/>
        </w:rPr>
        <w:t xml:space="preserve">, </w:t>
      </w:r>
      <w:proofErr w:type="spellStart"/>
      <w:r w:rsidRPr="003A1B10">
        <w:rPr>
          <w:rFonts w:ascii="Times New Roman" w:hAnsi="Times New Roman"/>
        </w:rPr>
        <w:t>José</w:t>
      </w:r>
      <w:proofErr w:type="spellEnd"/>
      <w:r w:rsidRPr="003A1B10">
        <w:rPr>
          <w:rFonts w:ascii="Times New Roman" w:hAnsi="Times New Roman"/>
        </w:rPr>
        <w:t xml:space="preserve"> </w:t>
      </w:r>
      <w:proofErr w:type="spellStart"/>
      <w:r w:rsidRPr="003A1B10">
        <w:rPr>
          <w:rFonts w:ascii="Times New Roman" w:hAnsi="Times New Roman"/>
        </w:rPr>
        <w:t>María</w:t>
      </w:r>
      <w:proofErr w:type="spellEnd"/>
      <w:r w:rsidRPr="003A1B10">
        <w:rPr>
          <w:rFonts w:ascii="Times New Roman" w:hAnsi="Times New Roman"/>
        </w:rPr>
        <w:t xml:space="preserve">), </w:t>
      </w:r>
      <w:proofErr w:type="spellStart"/>
      <w:r w:rsidRPr="003A1B10">
        <w:rPr>
          <w:rFonts w:ascii="Times New Roman" w:hAnsi="Times New Roman"/>
        </w:rPr>
        <w:t>Instituto</w:t>
      </w:r>
      <w:proofErr w:type="spellEnd"/>
      <w:r w:rsidRPr="003A1B10">
        <w:rPr>
          <w:rFonts w:ascii="Times New Roman" w:hAnsi="Times New Roman"/>
        </w:rPr>
        <w:t xml:space="preserve"> De </w:t>
      </w:r>
      <w:proofErr w:type="spellStart"/>
      <w:r w:rsidRPr="003A1B10">
        <w:rPr>
          <w:rFonts w:ascii="Times New Roman" w:hAnsi="Times New Roman"/>
        </w:rPr>
        <w:t>Investigaciones</w:t>
      </w:r>
      <w:proofErr w:type="spellEnd"/>
      <w:r w:rsidRPr="003A1B10">
        <w:rPr>
          <w:rFonts w:ascii="Times New Roman" w:hAnsi="Times New Roman"/>
        </w:rPr>
        <w:t xml:space="preserve"> </w:t>
      </w:r>
      <w:proofErr w:type="spellStart"/>
      <w:r w:rsidRPr="003A1B10">
        <w:rPr>
          <w:rFonts w:ascii="Times New Roman" w:hAnsi="Times New Roman"/>
        </w:rPr>
        <w:t>Jurídicas</w:t>
      </w:r>
      <w:proofErr w:type="spellEnd"/>
      <w:r w:rsidRPr="003A1B10">
        <w:rPr>
          <w:rFonts w:ascii="Times New Roman" w:hAnsi="Times New Roman"/>
        </w:rPr>
        <w:t>, 2020, s. 133.</w:t>
      </w:r>
    </w:p>
  </w:footnote>
  <w:footnote w:id="37">
    <w:p w14:paraId="3DF35006" w14:textId="77777777"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Sağlık ve insan hakları arasındaki ilişkiye ilişkin genel olarak bkz. </w:t>
      </w:r>
      <w:proofErr w:type="spellStart"/>
      <w:r w:rsidRPr="003A1B10">
        <w:rPr>
          <w:rFonts w:ascii="Times New Roman" w:hAnsi="Times New Roman"/>
        </w:rPr>
        <w:t>Jonathan</w:t>
      </w:r>
      <w:proofErr w:type="spellEnd"/>
      <w:r w:rsidRPr="003A1B10">
        <w:rPr>
          <w:rFonts w:ascii="Times New Roman" w:hAnsi="Times New Roman"/>
        </w:rPr>
        <w:t xml:space="preserve"> M. Mann </w:t>
      </w:r>
      <w:r w:rsidRPr="003A1B10">
        <w:rPr>
          <w:rFonts w:ascii="Times New Roman" w:hAnsi="Times New Roman"/>
          <w:i/>
          <w:iCs/>
        </w:rPr>
        <w:t xml:space="preserve">et. </w:t>
      </w:r>
      <w:proofErr w:type="gramStart"/>
      <w:r w:rsidRPr="003A1B10">
        <w:rPr>
          <w:rFonts w:ascii="Times New Roman" w:hAnsi="Times New Roman"/>
          <w:i/>
          <w:iCs/>
        </w:rPr>
        <w:t>al</w:t>
      </w:r>
      <w:proofErr w:type="gramEnd"/>
      <w:r w:rsidRPr="003A1B10">
        <w:rPr>
          <w:rFonts w:ascii="Times New Roman" w:hAnsi="Times New Roman"/>
        </w:rPr>
        <w:t>., “</w:t>
      </w:r>
      <w:proofErr w:type="spellStart"/>
      <w:r w:rsidRPr="003A1B10">
        <w:rPr>
          <w:rFonts w:ascii="Times New Roman" w:hAnsi="Times New Roman"/>
        </w:rPr>
        <w:t>Health</w:t>
      </w:r>
      <w:proofErr w:type="spellEnd"/>
      <w:r w:rsidRPr="003A1B10">
        <w:rPr>
          <w:rFonts w:ascii="Times New Roman" w:hAnsi="Times New Roman"/>
        </w:rPr>
        <w:t xml:space="preserve"> </w:t>
      </w:r>
      <w:proofErr w:type="spellStart"/>
      <w:r w:rsidRPr="003A1B10">
        <w:rPr>
          <w:rFonts w:ascii="Times New Roman" w:hAnsi="Times New Roman"/>
        </w:rPr>
        <w:t>and</w:t>
      </w:r>
      <w:proofErr w:type="spellEnd"/>
      <w:r w:rsidRPr="003A1B10">
        <w:rPr>
          <w:rFonts w:ascii="Times New Roman" w:hAnsi="Times New Roman"/>
        </w:rPr>
        <w:t xml:space="preserve"> Human </w:t>
      </w:r>
      <w:proofErr w:type="spellStart"/>
      <w:r w:rsidRPr="003A1B10">
        <w:rPr>
          <w:rFonts w:ascii="Times New Roman" w:hAnsi="Times New Roman"/>
        </w:rPr>
        <w:t>Rights</w:t>
      </w:r>
      <w:proofErr w:type="spellEnd"/>
      <w:r w:rsidRPr="003A1B10">
        <w:rPr>
          <w:rFonts w:ascii="Times New Roman" w:hAnsi="Times New Roman"/>
        </w:rPr>
        <w:t xml:space="preserve">”, </w:t>
      </w:r>
      <w:proofErr w:type="spellStart"/>
      <w:r w:rsidRPr="003A1B10">
        <w:rPr>
          <w:rFonts w:ascii="Times New Roman" w:hAnsi="Times New Roman"/>
          <w:i/>
          <w:iCs/>
        </w:rPr>
        <w:t>Health</w:t>
      </w:r>
      <w:proofErr w:type="spellEnd"/>
      <w:r w:rsidRPr="003A1B10">
        <w:rPr>
          <w:rFonts w:ascii="Times New Roman" w:hAnsi="Times New Roman"/>
          <w:i/>
          <w:iCs/>
        </w:rPr>
        <w:t xml:space="preserve"> </w:t>
      </w:r>
      <w:proofErr w:type="spellStart"/>
      <w:r w:rsidRPr="003A1B10">
        <w:rPr>
          <w:rFonts w:ascii="Times New Roman" w:hAnsi="Times New Roman"/>
          <w:i/>
          <w:iCs/>
        </w:rPr>
        <w:t>and</w:t>
      </w:r>
      <w:proofErr w:type="spellEnd"/>
      <w:r w:rsidRPr="003A1B10">
        <w:rPr>
          <w:rFonts w:ascii="Times New Roman" w:hAnsi="Times New Roman"/>
          <w:i/>
          <w:iCs/>
        </w:rPr>
        <w:t xml:space="preserve"> Human </w:t>
      </w:r>
      <w:proofErr w:type="spellStart"/>
      <w:r w:rsidRPr="003A1B10">
        <w:rPr>
          <w:rFonts w:ascii="Times New Roman" w:hAnsi="Times New Roman"/>
          <w:i/>
          <w:iCs/>
        </w:rPr>
        <w:t>Rights</w:t>
      </w:r>
      <w:proofErr w:type="spellEnd"/>
      <w:r w:rsidRPr="003A1B10">
        <w:rPr>
          <w:rFonts w:ascii="Times New Roman" w:hAnsi="Times New Roman"/>
        </w:rPr>
        <w:t xml:space="preserve"> 1/1, 1994, s. 7-23.</w:t>
      </w:r>
    </w:p>
  </w:footnote>
  <w:footnote w:id="38">
    <w:p w14:paraId="63C4C208" w14:textId="3FFAA431"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Konuyu</w:t>
      </w:r>
      <w:r>
        <w:rPr>
          <w:rFonts w:ascii="Times New Roman" w:hAnsi="Times New Roman"/>
        </w:rPr>
        <w:t xml:space="preserve">, </w:t>
      </w:r>
      <w:r w:rsidRPr="003A1B10">
        <w:rPr>
          <w:rFonts w:ascii="Times New Roman" w:hAnsi="Times New Roman"/>
        </w:rPr>
        <w:t xml:space="preserve">AİHS madde 17 ve madde 18 bağlamında ele almak da mümkündür. Sözleşme’nin 17. </w:t>
      </w:r>
      <w:r>
        <w:rPr>
          <w:rFonts w:ascii="Times New Roman" w:hAnsi="Times New Roman"/>
        </w:rPr>
        <w:t>m</w:t>
      </w:r>
      <w:r w:rsidRPr="003A1B10">
        <w:rPr>
          <w:rFonts w:ascii="Times New Roman" w:hAnsi="Times New Roman"/>
        </w:rPr>
        <w:t xml:space="preserve">addesine göre, </w:t>
      </w:r>
      <w:proofErr w:type="spellStart"/>
      <w:r w:rsidRPr="003A1B10">
        <w:rPr>
          <w:rFonts w:ascii="Times New Roman" w:hAnsi="Times New Roman"/>
        </w:rPr>
        <w:t>Sözleşme’deki</w:t>
      </w:r>
      <w:proofErr w:type="spellEnd"/>
      <w:r w:rsidRPr="003A1B10">
        <w:rPr>
          <w:rFonts w:ascii="Times New Roman" w:hAnsi="Times New Roman"/>
        </w:rPr>
        <w:t xml:space="preserve"> hiçbir hüküm, </w:t>
      </w:r>
      <w:r>
        <w:rPr>
          <w:rFonts w:ascii="Times New Roman" w:hAnsi="Times New Roman"/>
        </w:rPr>
        <w:t xml:space="preserve">bir devlete, topluluğa veya kişiye, </w:t>
      </w:r>
      <w:proofErr w:type="spellStart"/>
      <w:r>
        <w:rPr>
          <w:rFonts w:ascii="Times New Roman" w:hAnsi="Times New Roman"/>
        </w:rPr>
        <w:t>Sözleşme’de</w:t>
      </w:r>
      <w:proofErr w:type="spellEnd"/>
      <w:r>
        <w:rPr>
          <w:rFonts w:ascii="Times New Roman" w:hAnsi="Times New Roman"/>
        </w:rPr>
        <w:t xml:space="preserve"> tanınan hak özgürlüklerin yok edilmesi veya bunların </w:t>
      </w:r>
      <w:proofErr w:type="spellStart"/>
      <w:r>
        <w:rPr>
          <w:rFonts w:ascii="Times New Roman" w:hAnsi="Times New Roman"/>
        </w:rPr>
        <w:t>Sözleşme’de</w:t>
      </w:r>
      <w:proofErr w:type="spellEnd"/>
      <w:r>
        <w:rPr>
          <w:rFonts w:ascii="Times New Roman" w:hAnsi="Times New Roman"/>
        </w:rPr>
        <w:t xml:space="preserve"> öngörülmüş olandan daha geniş ölçüde sınırlandırılmalarını amaçlayan bir girişimde ya da eylemde bulunma hakkı vermez ve bu şekilde de yorumlanamaz. Yine </w:t>
      </w:r>
      <w:r w:rsidRPr="003A1B10">
        <w:rPr>
          <w:rFonts w:ascii="Times New Roman" w:hAnsi="Times New Roman"/>
        </w:rPr>
        <w:t>Sözleşme’nin 1</w:t>
      </w:r>
      <w:r>
        <w:rPr>
          <w:rFonts w:ascii="Times New Roman" w:hAnsi="Times New Roman"/>
        </w:rPr>
        <w:t>8</w:t>
      </w:r>
      <w:r w:rsidRPr="003A1B10">
        <w:rPr>
          <w:rFonts w:ascii="Times New Roman" w:hAnsi="Times New Roman"/>
        </w:rPr>
        <w:t xml:space="preserve">. </w:t>
      </w:r>
      <w:r>
        <w:rPr>
          <w:rFonts w:ascii="Times New Roman" w:hAnsi="Times New Roman"/>
        </w:rPr>
        <w:t>m</w:t>
      </w:r>
      <w:r w:rsidRPr="003A1B10">
        <w:rPr>
          <w:rFonts w:ascii="Times New Roman" w:hAnsi="Times New Roman"/>
        </w:rPr>
        <w:t>addesi</w:t>
      </w:r>
      <w:r>
        <w:rPr>
          <w:rFonts w:ascii="Times New Roman" w:hAnsi="Times New Roman"/>
        </w:rPr>
        <w:t xml:space="preserve"> de 17. maddeyle birlikte değerlendirilmelidir. 18. madde de iyi niyet ilkesi ve yetkinin kötüye kullanılması ile ilgilidir ve </w:t>
      </w:r>
      <w:proofErr w:type="spellStart"/>
      <w:r>
        <w:rPr>
          <w:rFonts w:ascii="Times New Roman" w:hAnsi="Times New Roman"/>
        </w:rPr>
        <w:t>Sözleşme’de</w:t>
      </w:r>
      <w:proofErr w:type="spellEnd"/>
      <w:r>
        <w:rPr>
          <w:rFonts w:ascii="Times New Roman" w:hAnsi="Times New Roman"/>
        </w:rPr>
        <w:t xml:space="preserve"> tanınan hak ve özgürlüklere ilişkin Sözleşme’nin izin verdiği kısıtlamalar, öngörüldükleri amaç dışında uygulanamazlar. Konuya ilişkin detaylı bilgi ve maddeleri konu edinen örnek AİHM kararları için bkz. </w:t>
      </w:r>
      <w:r w:rsidRPr="003A1B10">
        <w:rPr>
          <w:rFonts w:ascii="Times New Roman" w:hAnsi="Times New Roman"/>
        </w:rPr>
        <w:t xml:space="preserve">D. J. Harris &amp; M. </w:t>
      </w:r>
      <w:proofErr w:type="spellStart"/>
      <w:r w:rsidRPr="003A1B10">
        <w:rPr>
          <w:rFonts w:ascii="Times New Roman" w:hAnsi="Times New Roman"/>
        </w:rPr>
        <w:t>O’Boyle</w:t>
      </w:r>
      <w:proofErr w:type="spellEnd"/>
      <w:r w:rsidRPr="003A1B10">
        <w:rPr>
          <w:rFonts w:ascii="Times New Roman" w:hAnsi="Times New Roman"/>
        </w:rPr>
        <w:t xml:space="preserve"> &amp; E. </w:t>
      </w:r>
      <w:proofErr w:type="spellStart"/>
      <w:r w:rsidRPr="003A1B10">
        <w:rPr>
          <w:rFonts w:ascii="Times New Roman" w:hAnsi="Times New Roman"/>
        </w:rPr>
        <w:t>Bates</w:t>
      </w:r>
      <w:proofErr w:type="spellEnd"/>
      <w:r w:rsidRPr="003A1B10">
        <w:rPr>
          <w:rFonts w:ascii="Times New Roman" w:hAnsi="Times New Roman"/>
        </w:rPr>
        <w:t xml:space="preserve"> &amp; </w:t>
      </w:r>
      <w:proofErr w:type="spellStart"/>
      <w:r w:rsidRPr="003A1B10">
        <w:rPr>
          <w:rFonts w:ascii="Times New Roman" w:hAnsi="Times New Roman"/>
        </w:rPr>
        <w:t>Warbrick</w:t>
      </w:r>
      <w:proofErr w:type="spellEnd"/>
      <w:r w:rsidRPr="003A1B10">
        <w:rPr>
          <w:rFonts w:ascii="Times New Roman" w:hAnsi="Times New Roman"/>
        </w:rPr>
        <w:t xml:space="preserve"> (çev. Mehveş Bingöllü Kılcı &amp; Ulaş Karan), </w:t>
      </w:r>
      <w:r w:rsidRPr="003A1B10">
        <w:rPr>
          <w:rFonts w:ascii="Times New Roman" w:hAnsi="Times New Roman"/>
          <w:i/>
          <w:iCs/>
        </w:rPr>
        <w:t>Avrupa İnsan Hakları Sözleşmesi Hukuku</w:t>
      </w:r>
      <w:r w:rsidRPr="003A1B10">
        <w:rPr>
          <w:rFonts w:ascii="Times New Roman" w:hAnsi="Times New Roman"/>
        </w:rPr>
        <w:t>, 4. Bası, İstanbul Bilgi Üniversitesi Yayınları, İstanbul, 2021,</w:t>
      </w:r>
      <w:r>
        <w:rPr>
          <w:rFonts w:ascii="Times New Roman" w:hAnsi="Times New Roman"/>
        </w:rPr>
        <w:t xml:space="preserve"> s. 808-812, 813- 820.</w:t>
      </w:r>
    </w:p>
  </w:footnote>
  <w:footnote w:id="39">
    <w:p w14:paraId="68F573FA" w14:textId="2D584048"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Council</w:t>
      </w:r>
      <w:proofErr w:type="spellEnd"/>
      <w:r w:rsidRPr="003A1B10">
        <w:rPr>
          <w:rFonts w:ascii="Times New Roman" w:hAnsi="Times New Roman"/>
        </w:rPr>
        <w:t xml:space="preserve"> of Europe, </w:t>
      </w:r>
      <w:proofErr w:type="spellStart"/>
      <w:r w:rsidRPr="003A1B10">
        <w:rPr>
          <w:rFonts w:ascii="Times New Roman" w:hAnsi="Times New Roman"/>
        </w:rPr>
        <w:t>Respecting</w:t>
      </w:r>
      <w:proofErr w:type="spellEnd"/>
      <w:r w:rsidRPr="003A1B10">
        <w:rPr>
          <w:rFonts w:ascii="Times New Roman" w:hAnsi="Times New Roman"/>
        </w:rPr>
        <w:t xml:space="preserve"> </w:t>
      </w:r>
      <w:proofErr w:type="spellStart"/>
      <w:r w:rsidRPr="003A1B10">
        <w:rPr>
          <w:rFonts w:ascii="Times New Roman" w:hAnsi="Times New Roman"/>
        </w:rPr>
        <w:t>Democracy</w:t>
      </w:r>
      <w:proofErr w:type="spellEnd"/>
      <w:r w:rsidRPr="003A1B10">
        <w:rPr>
          <w:rFonts w:ascii="Times New Roman" w:hAnsi="Times New Roman"/>
        </w:rPr>
        <w:t xml:space="preserve">, </w:t>
      </w:r>
      <w:proofErr w:type="spellStart"/>
      <w:r w:rsidRPr="003A1B10">
        <w:rPr>
          <w:rFonts w:ascii="Times New Roman" w:hAnsi="Times New Roman"/>
        </w:rPr>
        <w:t>Rule</w:t>
      </w:r>
      <w:proofErr w:type="spellEnd"/>
      <w:r w:rsidRPr="003A1B10">
        <w:rPr>
          <w:rFonts w:ascii="Times New Roman" w:hAnsi="Times New Roman"/>
        </w:rPr>
        <w:t xml:space="preserve"> of </w:t>
      </w:r>
      <w:proofErr w:type="spellStart"/>
      <w:r w:rsidRPr="003A1B10">
        <w:rPr>
          <w:rFonts w:ascii="Times New Roman" w:hAnsi="Times New Roman"/>
        </w:rPr>
        <w:t>Law</w:t>
      </w:r>
      <w:proofErr w:type="spellEnd"/>
      <w:r w:rsidRPr="003A1B10">
        <w:rPr>
          <w:rFonts w:ascii="Times New Roman" w:hAnsi="Times New Roman"/>
        </w:rPr>
        <w:t xml:space="preserve"> </w:t>
      </w:r>
      <w:proofErr w:type="spellStart"/>
      <w:r w:rsidRPr="003A1B10">
        <w:rPr>
          <w:rFonts w:ascii="Times New Roman" w:hAnsi="Times New Roman"/>
        </w:rPr>
        <w:t>And</w:t>
      </w:r>
      <w:proofErr w:type="spellEnd"/>
      <w:r w:rsidRPr="003A1B10">
        <w:rPr>
          <w:rFonts w:ascii="Times New Roman" w:hAnsi="Times New Roman"/>
        </w:rPr>
        <w:t xml:space="preserve"> Human </w:t>
      </w:r>
      <w:proofErr w:type="spellStart"/>
      <w:r w:rsidRPr="003A1B10">
        <w:rPr>
          <w:rFonts w:ascii="Times New Roman" w:hAnsi="Times New Roman"/>
        </w:rPr>
        <w:t>Rights</w:t>
      </w:r>
      <w:proofErr w:type="spellEnd"/>
      <w:r w:rsidRPr="003A1B10">
        <w:rPr>
          <w:rFonts w:ascii="Times New Roman" w:hAnsi="Times New Roman"/>
        </w:rPr>
        <w:t xml:space="preserve"> in </w:t>
      </w:r>
      <w:proofErr w:type="spellStart"/>
      <w:r w:rsidRPr="003A1B10">
        <w:rPr>
          <w:rFonts w:ascii="Times New Roman" w:hAnsi="Times New Roman"/>
        </w:rPr>
        <w:t>the</w:t>
      </w:r>
      <w:proofErr w:type="spellEnd"/>
      <w:r w:rsidRPr="003A1B10">
        <w:rPr>
          <w:rFonts w:ascii="Times New Roman" w:hAnsi="Times New Roman"/>
        </w:rPr>
        <w:t xml:space="preserve"> Framework of </w:t>
      </w:r>
      <w:proofErr w:type="spellStart"/>
      <w:r w:rsidRPr="003A1B10">
        <w:rPr>
          <w:rFonts w:ascii="Times New Roman" w:hAnsi="Times New Roman"/>
        </w:rPr>
        <w:t>the</w:t>
      </w:r>
      <w:proofErr w:type="spellEnd"/>
      <w:r w:rsidRPr="003A1B10">
        <w:rPr>
          <w:rFonts w:ascii="Times New Roman" w:hAnsi="Times New Roman"/>
        </w:rPr>
        <w:t xml:space="preserve"> COVID-19 </w:t>
      </w:r>
      <w:proofErr w:type="spellStart"/>
      <w:r w:rsidRPr="003A1B10">
        <w:rPr>
          <w:rFonts w:ascii="Times New Roman" w:hAnsi="Times New Roman"/>
        </w:rPr>
        <w:t>Sanitary</w:t>
      </w:r>
      <w:proofErr w:type="spellEnd"/>
      <w:r w:rsidRPr="003A1B10">
        <w:rPr>
          <w:rFonts w:ascii="Times New Roman" w:hAnsi="Times New Roman"/>
        </w:rPr>
        <w:t xml:space="preserve"> </w:t>
      </w:r>
      <w:proofErr w:type="spellStart"/>
      <w:r w:rsidRPr="003A1B10">
        <w:rPr>
          <w:rFonts w:ascii="Times New Roman" w:hAnsi="Times New Roman"/>
        </w:rPr>
        <w:t>Crisis</w:t>
      </w:r>
      <w:proofErr w:type="spellEnd"/>
      <w:r w:rsidRPr="003A1B10">
        <w:rPr>
          <w:rFonts w:ascii="Times New Roman" w:hAnsi="Times New Roman"/>
        </w:rPr>
        <w:t xml:space="preserve">: A Toolkit </w:t>
      </w:r>
      <w:proofErr w:type="spellStart"/>
      <w:r w:rsidRPr="003A1B10">
        <w:rPr>
          <w:rFonts w:ascii="Times New Roman" w:hAnsi="Times New Roman"/>
        </w:rPr>
        <w:t>For</w:t>
      </w:r>
      <w:proofErr w:type="spellEnd"/>
      <w:r w:rsidRPr="003A1B10">
        <w:rPr>
          <w:rFonts w:ascii="Times New Roman" w:hAnsi="Times New Roman"/>
        </w:rPr>
        <w:t xml:space="preserve"> </w:t>
      </w:r>
      <w:proofErr w:type="spellStart"/>
      <w:r w:rsidRPr="003A1B10">
        <w:rPr>
          <w:rFonts w:ascii="Times New Roman" w:hAnsi="Times New Roman"/>
        </w:rPr>
        <w:t>Member</w:t>
      </w:r>
      <w:proofErr w:type="spellEnd"/>
      <w:r w:rsidRPr="003A1B10">
        <w:rPr>
          <w:rFonts w:ascii="Times New Roman" w:hAnsi="Times New Roman"/>
        </w:rPr>
        <w:t xml:space="preserve"> </w:t>
      </w:r>
      <w:proofErr w:type="spellStart"/>
      <w:r w:rsidRPr="003A1B10">
        <w:rPr>
          <w:rFonts w:ascii="Times New Roman" w:hAnsi="Times New Roman"/>
        </w:rPr>
        <w:t>States</w:t>
      </w:r>
      <w:proofErr w:type="spellEnd"/>
      <w:r w:rsidRPr="003A1B10">
        <w:rPr>
          <w:rFonts w:ascii="Times New Roman" w:hAnsi="Times New Roman"/>
        </w:rPr>
        <w:t xml:space="preserve">, s. 2. </w:t>
      </w:r>
    </w:p>
  </w:footnote>
  <w:footnote w:id="40">
    <w:p w14:paraId="2D2050BD" w14:textId="208D9A86"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D. J. Harris </w:t>
      </w:r>
      <w:r w:rsidRPr="00885DF8">
        <w:rPr>
          <w:rFonts w:ascii="Times New Roman" w:hAnsi="Times New Roman"/>
          <w:i/>
          <w:iCs/>
        </w:rPr>
        <w:t xml:space="preserve">et. </w:t>
      </w:r>
      <w:proofErr w:type="gramStart"/>
      <w:r w:rsidRPr="00885DF8">
        <w:rPr>
          <w:rFonts w:ascii="Times New Roman" w:hAnsi="Times New Roman"/>
          <w:i/>
          <w:iCs/>
        </w:rPr>
        <w:t>al</w:t>
      </w:r>
      <w:proofErr w:type="gramEnd"/>
      <w:r>
        <w:rPr>
          <w:rFonts w:ascii="Times New Roman" w:hAnsi="Times New Roman"/>
        </w:rPr>
        <w:t>., s.</w:t>
      </w:r>
      <w:r w:rsidRPr="003A1B10">
        <w:rPr>
          <w:rFonts w:ascii="Times New Roman" w:hAnsi="Times New Roman"/>
        </w:rPr>
        <w:t xml:space="preserve"> 24-27; Covid-19 </w:t>
      </w:r>
      <w:proofErr w:type="spellStart"/>
      <w:r w:rsidRPr="003A1B10">
        <w:rPr>
          <w:rFonts w:ascii="Times New Roman" w:hAnsi="Times New Roman"/>
        </w:rPr>
        <w:t>and</w:t>
      </w:r>
      <w:proofErr w:type="spellEnd"/>
      <w:r w:rsidRPr="003A1B10">
        <w:rPr>
          <w:rFonts w:ascii="Times New Roman" w:hAnsi="Times New Roman"/>
        </w:rPr>
        <w:t xml:space="preserve"> </w:t>
      </w:r>
      <w:proofErr w:type="spellStart"/>
      <w:r w:rsidRPr="003A1B10">
        <w:rPr>
          <w:rFonts w:ascii="Times New Roman" w:hAnsi="Times New Roman"/>
        </w:rPr>
        <w:t>the</w:t>
      </w:r>
      <w:proofErr w:type="spellEnd"/>
      <w:r w:rsidRPr="003A1B10">
        <w:rPr>
          <w:rFonts w:ascii="Times New Roman" w:hAnsi="Times New Roman"/>
        </w:rPr>
        <w:t xml:space="preserve"> </w:t>
      </w:r>
      <w:proofErr w:type="spellStart"/>
      <w:r w:rsidRPr="003A1B10">
        <w:rPr>
          <w:rFonts w:ascii="Times New Roman" w:hAnsi="Times New Roman"/>
        </w:rPr>
        <w:t>Impact</w:t>
      </w:r>
      <w:proofErr w:type="spellEnd"/>
      <w:r w:rsidRPr="003A1B10">
        <w:rPr>
          <w:rFonts w:ascii="Times New Roman" w:hAnsi="Times New Roman"/>
        </w:rPr>
        <w:t xml:space="preserve"> on Human </w:t>
      </w:r>
      <w:proofErr w:type="spellStart"/>
      <w:r w:rsidRPr="003A1B10">
        <w:rPr>
          <w:rFonts w:ascii="Times New Roman" w:hAnsi="Times New Roman"/>
        </w:rPr>
        <w:t>Rights</w:t>
      </w:r>
      <w:proofErr w:type="spellEnd"/>
      <w:r w:rsidRPr="003A1B10">
        <w:rPr>
          <w:rFonts w:ascii="Times New Roman" w:hAnsi="Times New Roman"/>
        </w:rPr>
        <w:t xml:space="preserve"> An </w:t>
      </w:r>
      <w:proofErr w:type="spellStart"/>
      <w:r w:rsidRPr="003A1B10">
        <w:rPr>
          <w:rFonts w:ascii="Times New Roman" w:hAnsi="Times New Roman"/>
        </w:rPr>
        <w:t>overview</w:t>
      </w:r>
      <w:proofErr w:type="spellEnd"/>
      <w:r w:rsidRPr="003A1B10">
        <w:rPr>
          <w:rFonts w:ascii="Times New Roman" w:hAnsi="Times New Roman"/>
        </w:rPr>
        <w:t xml:space="preserve"> of </w:t>
      </w:r>
      <w:proofErr w:type="spellStart"/>
      <w:r w:rsidRPr="003A1B10">
        <w:rPr>
          <w:rFonts w:ascii="Times New Roman" w:hAnsi="Times New Roman"/>
        </w:rPr>
        <w:t>relevant</w:t>
      </w:r>
      <w:proofErr w:type="spellEnd"/>
      <w:r w:rsidRPr="003A1B10">
        <w:rPr>
          <w:rFonts w:ascii="Times New Roman" w:hAnsi="Times New Roman"/>
        </w:rPr>
        <w:t xml:space="preserve"> </w:t>
      </w:r>
      <w:proofErr w:type="spellStart"/>
      <w:r w:rsidRPr="003A1B10">
        <w:rPr>
          <w:rFonts w:ascii="Times New Roman" w:hAnsi="Times New Roman"/>
        </w:rPr>
        <w:t>jurisprudence</w:t>
      </w:r>
      <w:proofErr w:type="spellEnd"/>
      <w:r w:rsidRPr="003A1B10">
        <w:rPr>
          <w:rFonts w:ascii="Times New Roman" w:hAnsi="Times New Roman"/>
        </w:rPr>
        <w:t xml:space="preserve"> of </w:t>
      </w:r>
      <w:proofErr w:type="spellStart"/>
      <w:r w:rsidRPr="003A1B10">
        <w:rPr>
          <w:rFonts w:ascii="Times New Roman" w:hAnsi="Times New Roman"/>
        </w:rPr>
        <w:t>the</w:t>
      </w:r>
      <w:proofErr w:type="spellEnd"/>
      <w:r w:rsidRPr="003A1B10">
        <w:rPr>
          <w:rFonts w:ascii="Times New Roman" w:hAnsi="Times New Roman"/>
        </w:rPr>
        <w:t xml:space="preserve"> </w:t>
      </w:r>
      <w:proofErr w:type="spellStart"/>
      <w:r w:rsidRPr="003A1B10">
        <w:rPr>
          <w:rFonts w:ascii="Times New Roman" w:hAnsi="Times New Roman"/>
        </w:rPr>
        <w:t>European</w:t>
      </w:r>
      <w:proofErr w:type="spellEnd"/>
      <w:r w:rsidRPr="003A1B10">
        <w:rPr>
          <w:rFonts w:ascii="Times New Roman" w:hAnsi="Times New Roman"/>
        </w:rPr>
        <w:t xml:space="preserve"> Court of Human </w:t>
      </w:r>
      <w:proofErr w:type="spellStart"/>
      <w:r w:rsidRPr="003A1B10">
        <w:rPr>
          <w:rFonts w:ascii="Times New Roman" w:hAnsi="Times New Roman"/>
        </w:rPr>
        <w:t>Rights</w:t>
      </w:r>
      <w:proofErr w:type="spellEnd"/>
      <w:r w:rsidRPr="003A1B10">
        <w:rPr>
          <w:rFonts w:ascii="Times New Roman" w:hAnsi="Times New Roman"/>
        </w:rPr>
        <w:t xml:space="preserve">, </w:t>
      </w:r>
      <w:proofErr w:type="spellStart"/>
      <w:r w:rsidRPr="003A1B10">
        <w:rPr>
          <w:rFonts w:ascii="Times New Roman" w:hAnsi="Times New Roman"/>
        </w:rPr>
        <w:t>The</w:t>
      </w:r>
      <w:proofErr w:type="spellEnd"/>
      <w:r w:rsidRPr="003A1B10">
        <w:rPr>
          <w:rFonts w:ascii="Times New Roman" w:hAnsi="Times New Roman"/>
        </w:rPr>
        <w:t xml:space="preserve"> AIRE </w:t>
      </w:r>
      <w:proofErr w:type="spellStart"/>
      <w:r w:rsidRPr="003A1B10">
        <w:rPr>
          <w:rFonts w:ascii="Times New Roman" w:hAnsi="Times New Roman"/>
        </w:rPr>
        <w:t>Centre</w:t>
      </w:r>
      <w:proofErr w:type="spellEnd"/>
      <w:r w:rsidRPr="003A1B10">
        <w:rPr>
          <w:rFonts w:ascii="Times New Roman" w:hAnsi="Times New Roman"/>
        </w:rPr>
        <w:t xml:space="preserve"> / </w:t>
      </w:r>
      <w:proofErr w:type="spellStart"/>
      <w:r w:rsidRPr="003A1B10">
        <w:rPr>
          <w:rFonts w:ascii="Times New Roman" w:hAnsi="Times New Roman"/>
        </w:rPr>
        <w:t>Civil</w:t>
      </w:r>
      <w:proofErr w:type="spellEnd"/>
      <w:r w:rsidRPr="003A1B10">
        <w:rPr>
          <w:rFonts w:ascii="Times New Roman" w:hAnsi="Times New Roman"/>
        </w:rPr>
        <w:t xml:space="preserve"> </w:t>
      </w:r>
      <w:proofErr w:type="spellStart"/>
      <w:r w:rsidRPr="003A1B10">
        <w:rPr>
          <w:rFonts w:ascii="Times New Roman" w:hAnsi="Times New Roman"/>
        </w:rPr>
        <w:t>Rights</w:t>
      </w:r>
      <w:proofErr w:type="spellEnd"/>
      <w:r w:rsidRPr="003A1B10">
        <w:rPr>
          <w:rFonts w:ascii="Times New Roman" w:hAnsi="Times New Roman"/>
        </w:rPr>
        <w:t xml:space="preserve"> </w:t>
      </w:r>
      <w:proofErr w:type="spellStart"/>
      <w:r w:rsidRPr="003A1B10">
        <w:rPr>
          <w:rFonts w:ascii="Times New Roman" w:hAnsi="Times New Roman"/>
        </w:rPr>
        <w:t>Defenders</w:t>
      </w:r>
      <w:proofErr w:type="spellEnd"/>
      <w:r w:rsidRPr="003A1B10">
        <w:rPr>
          <w:rFonts w:ascii="Times New Roman" w:hAnsi="Times New Roman"/>
        </w:rPr>
        <w:t xml:space="preserve">, 2020, s. 23-24. </w:t>
      </w:r>
    </w:p>
  </w:footnote>
  <w:footnote w:id="41">
    <w:p w14:paraId="633CA04F" w14:textId="77777777" w:rsidR="00336E79" w:rsidRPr="003A1B10" w:rsidRDefault="00336E79" w:rsidP="00885DF8">
      <w:pPr>
        <w:pStyle w:val="FootnoteText"/>
        <w:ind w:left="0" w:right="0"/>
        <w:contextualSpacing/>
        <w:jc w:val="left"/>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Covid-19 </w:t>
      </w:r>
      <w:proofErr w:type="spellStart"/>
      <w:r w:rsidRPr="003A1B10">
        <w:rPr>
          <w:rFonts w:ascii="Times New Roman" w:hAnsi="Times New Roman"/>
        </w:rPr>
        <w:t>and</w:t>
      </w:r>
      <w:proofErr w:type="spellEnd"/>
      <w:r w:rsidRPr="003A1B10">
        <w:rPr>
          <w:rFonts w:ascii="Times New Roman" w:hAnsi="Times New Roman"/>
        </w:rPr>
        <w:t xml:space="preserve"> </w:t>
      </w:r>
      <w:proofErr w:type="spellStart"/>
      <w:r w:rsidRPr="003A1B10">
        <w:rPr>
          <w:rFonts w:ascii="Times New Roman" w:hAnsi="Times New Roman"/>
        </w:rPr>
        <w:t>the</w:t>
      </w:r>
      <w:proofErr w:type="spellEnd"/>
      <w:r w:rsidRPr="003A1B10">
        <w:rPr>
          <w:rFonts w:ascii="Times New Roman" w:hAnsi="Times New Roman"/>
        </w:rPr>
        <w:t xml:space="preserve"> </w:t>
      </w:r>
      <w:proofErr w:type="spellStart"/>
      <w:r w:rsidRPr="003A1B10">
        <w:rPr>
          <w:rFonts w:ascii="Times New Roman" w:hAnsi="Times New Roman"/>
        </w:rPr>
        <w:t>Impact</w:t>
      </w:r>
      <w:proofErr w:type="spellEnd"/>
      <w:r w:rsidRPr="003A1B10">
        <w:rPr>
          <w:rFonts w:ascii="Times New Roman" w:hAnsi="Times New Roman"/>
        </w:rPr>
        <w:t xml:space="preserve"> on Human </w:t>
      </w:r>
      <w:proofErr w:type="spellStart"/>
      <w:r w:rsidRPr="003A1B10">
        <w:rPr>
          <w:rFonts w:ascii="Times New Roman" w:hAnsi="Times New Roman"/>
        </w:rPr>
        <w:t>Rights</w:t>
      </w:r>
      <w:proofErr w:type="spellEnd"/>
      <w:r w:rsidRPr="003A1B10">
        <w:rPr>
          <w:rFonts w:ascii="Times New Roman" w:hAnsi="Times New Roman"/>
        </w:rPr>
        <w:t xml:space="preserve"> An </w:t>
      </w:r>
      <w:proofErr w:type="spellStart"/>
      <w:r w:rsidRPr="003A1B10">
        <w:rPr>
          <w:rFonts w:ascii="Times New Roman" w:hAnsi="Times New Roman"/>
        </w:rPr>
        <w:t>overview</w:t>
      </w:r>
      <w:proofErr w:type="spellEnd"/>
      <w:r w:rsidRPr="003A1B10">
        <w:rPr>
          <w:rFonts w:ascii="Times New Roman" w:hAnsi="Times New Roman"/>
        </w:rPr>
        <w:t xml:space="preserve"> of </w:t>
      </w:r>
      <w:proofErr w:type="spellStart"/>
      <w:r w:rsidRPr="003A1B10">
        <w:rPr>
          <w:rFonts w:ascii="Times New Roman" w:hAnsi="Times New Roman"/>
        </w:rPr>
        <w:t>relevant</w:t>
      </w:r>
      <w:proofErr w:type="spellEnd"/>
      <w:r w:rsidRPr="003A1B10">
        <w:rPr>
          <w:rFonts w:ascii="Times New Roman" w:hAnsi="Times New Roman"/>
        </w:rPr>
        <w:t xml:space="preserve"> </w:t>
      </w:r>
      <w:proofErr w:type="spellStart"/>
      <w:r w:rsidRPr="003A1B10">
        <w:rPr>
          <w:rFonts w:ascii="Times New Roman" w:hAnsi="Times New Roman"/>
        </w:rPr>
        <w:t>jurisprudence</w:t>
      </w:r>
      <w:proofErr w:type="spellEnd"/>
      <w:r w:rsidRPr="003A1B10">
        <w:rPr>
          <w:rFonts w:ascii="Times New Roman" w:hAnsi="Times New Roman"/>
        </w:rPr>
        <w:t xml:space="preserve"> of </w:t>
      </w:r>
      <w:proofErr w:type="spellStart"/>
      <w:r w:rsidRPr="003A1B10">
        <w:rPr>
          <w:rFonts w:ascii="Times New Roman" w:hAnsi="Times New Roman"/>
        </w:rPr>
        <w:t>the</w:t>
      </w:r>
      <w:proofErr w:type="spellEnd"/>
      <w:r w:rsidRPr="003A1B10">
        <w:rPr>
          <w:rFonts w:ascii="Times New Roman" w:hAnsi="Times New Roman"/>
        </w:rPr>
        <w:t xml:space="preserve"> </w:t>
      </w:r>
      <w:proofErr w:type="spellStart"/>
      <w:r w:rsidRPr="003A1B10">
        <w:rPr>
          <w:rFonts w:ascii="Times New Roman" w:hAnsi="Times New Roman"/>
        </w:rPr>
        <w:t>European</w:t>
      </w:r>
      <w:proofErr w:type="spellEnd"/>
      <w:r w:rsidRPr="003A1B10">
        <w:rPr>
          <w:rFonts w:ascii="Times New Roman" w:hAnsi="Times New Roman"/>
        </w:rPr>
        <w:t xml:space="preserve"> Court of Human </w:t>
      </w:r>
      <w:proofErr w:type="spellStart"/>
      <w:r w:rsidRPr="003A1B10">
        <w:rPr>
          <w:rFonts w:ascii="Times New Roman" w:hAnsi="Times New Roman"/>
        </w:rPr>
        <w:t>Rights</w:t>
      </w:r>
      <w:proofErr w:type="spellEnd"/>
      <w:r w:rsidRPr="003A1B10">
        <w:rPr>
          <w:rFonts w:ascii="Times New Roman" w:hAnsi="Times New Roman"/>
        </w:rPr>
        <w:t>, s. 22-25.</w:t>
      </w:r>
    </w:p>
  </w:footnote>
  <w:footnote w:id="42">
    <w:p w14:paraId="578817FA" w14:textId="3B1AE988"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Council</w:t>
      </w:r>
      <w:proofErr w:type="spellEnd"/>
      <w:r w:rsidRPr="003A1B10">
        <w:rPr>
          <w:rFonts w:ascii="Times New Roman" w:hAnsi="Times New Roman"/>
        </w:rPr>
        <w:t xml:space="preserve"> of Europe, </w:t>
      </w:r>
      <w:proofErr w:type="spellStart"/>
      <w:r w:rsidRPr="003A1B10">
        <w:rPr>
          <w:rFonts w:ascii="Times New Roman" w:hAnsi="Times New Roman"/>
        </w:rPr>
        <w:t>Respecting</w:t>
      </w:r>
      <w:proofErr w:type="spellEnd"/>
      <w:r w:rsidRPr="003A1B10">
        <w:rPr>
          <w:rFonts w:ascii="Times New Roman" w:hAnsi="Times New Roman"/>
        </w:rPr>
        <w:t xml:space="preserve"> </w:t>
      </w:r>
      <w:proofErr w:type="spellStart"/>
      <w:r w:rsidRPr="003A1B10">
        <w:rPr>
          <w:rFonts w:ascii="Times New Roman" w:hAnsi="Times New Roman"/>
        </w:rPr>
        <w:t>Democracy</w:t>
      </w:r>
      <w:proofErr w:type="spellEnd"/>
      <w:r w:rsidRPr="003A1B10">
        <w:rPr>
          <w:rFonts w:ascii="Times New Roman" w:hAnsi="Times New Roman"/>
        </w:rPr>
        <w:t xml:space="preserve">, </w:t>
      </w:r>
      <w:proofErr w:type="spellStart"/>
      <w:r w:rsidRPr="003A1B10">
        <w:rPr>
          <w:rFonts w:ascii="Times New Roman" w:hAnsi="Times New Roman"/>
        </w:rPr>
        <w:t>Rule</w:t>
      </w:r>
      <w:proofErr w:type="spellEnd"/>
      <w:r w:rsidRPr="003A1B10">
        <w:rPr>
          <w:rFonts w:ascii="Times New Roman" w:hAnsi="Times New Roman"/>
        </w:rPr>
        <w:t xml:space="preserve"> of </w:t>
      </w:r>
      <w:proofErr w:type="spellStart"/>
      <w:r w:rsidRPr="003A1B10">
        <w:rPr>
          <w:rFonts w:ascii="Times New Roman" w:hAnsi="Times New Roman"/>
        </w:rPr>
        <w:t>Law</w:t>
      </w:r>
      <w:proofErr w:type="spellEnd"/>
      <w:r w:rsidRPr="003A1B10">
        <w:rPr>
          <w:rFonts w:ascii="Times New Roman" w:hAnsi="Times New Roman"/>
        </w:rPr>
        <w:t xml:space="preserve"> </w:t>
      </w:r>
      <w:proofErr w:type="spellStart"/>
      <w:r w:rsidRPr="003A1B10">
        <w:rPr>
          <w:rFonts w:ascii="Times New Roman" w:hAnsi="Times New Roman"/>
        </w:rPr>
        <w:t>And</w:t>
      </w:r>
      <w:proofErr w:type="spellEnd"/>
      <w:r w:rsidRPr="003A1B10">
        <w:rPr>
          <w:rFonts w:ascii="Times New Roman" w:hAnsi="Times New Roman"/>
        </w:rPr>
        <w:t xml:space="preserve"> Human </w:t>
      </w:r>
      <w:proofErr w:type="spellStart"/>
      <w:r w:rsidRPr="003A1B10">
        <w:rPr>
          <w:rFonts w:ascii="Times New Roman" w:hAnsi="Times New Roman"/>
        </w:rPr>
        <w:t>Rights</w:t>
      </w:r>
      <w:proofErr w:type="spellEnd"/>
      <w:r w:rsidRPr="003A1B10">
        <w:rPr>
          <w:rFonts w:ascii="Times New Roman" w:hAnsi="Times New Roman"/>
        </w:rPr>
        <w:t xml:space="preserve"> in </w:t>
      </w:r>
      <w:proofErr w:type="spellStart"/>
      <w:r w:rsidRPr="003A1B10">
        <w:rPr>
          <w:rFonts w:ascii="Times New Roman" w:hAnsi="Times New Roman"/>
        </w:rPr>
        <w:t>the</w:t>
      </w:r>
      <w:proofErr w:type="spellEnd"/>
      <w:r w:rsidRPr="003A1B10">
        <w:rPr>
          <w:rFonts w:ascii="Times New Roman" w:hAnsi="Times New Roman"/>
        </w:rPr>
        <w:t xml:space="preserve"> Framework of </w:t>
      </w:r>
      <w:proofErr w:type="spellStart"/>
      <w:r w:rsidRPr="003A1B10">
        <w:rPr>
          <w:rFonts w:ascii="Times New Roman" w:hAnsi="Times New Roman"/>
        </w:rPr>
        <w:t>the</w:t>
      </w:r>
      <w:proofErr w:type="spellEnd"/>
      <w:r w:rsidRPr="003A1B10">
        <w:rPr>
          <w:rFonts w:ascii="Times New Roman" w:hAnsi="Times New Roman"/>
        </w:rPr>
        <w:t xml:space="preserve"> COVID-19 </w:t>
      </w:r>
      <w:proofErr w:type="spellStart"/>
      <w:r w:rsidRPr="003A1B10">
        <w:rPr>
          <w:rFonts w:ascii="Times New Roman" w:hAnsi="Times New Roman"/>
        </w:rPr>
        <w:t>Sanitary</w:t>
      </w:r>
      <w:proofErr w:type="spellEnd"/>
      <w:r w:rsidRPr="003A1B10">
        <w:rPr>
          <w:rFonts w:ascii="Times New Roman" w:hAnsi="Times New Roman"/>
        </w:rPr>
        <w:t xml:space="preserve"> </w:t>
      </w:r>
      <w:proofErr w:type="spellStart"/>
      <w:r w:rsidRPr="003A1B10">
        <w:rPr>
          <w:rFonts w:ascii="Times New Roman" w:hAnsi="Times New Roman"/>
        </w:rPr>
        <w:t>Crisis</w:t>
      </w:r>
      <w:proofErr w:type="spellEnd"/>
      <w:r w:rsidRPr="003A1B10">
        <w:rPr>
          <w:rFonts w:ascii="Times New Roman" w:hAnsi="Times New Roman"/>
        </w:rPr>
        <w:t xml:space="preserve">: A Toolkit </w:t>
      </w:r>
      <w:proofErr w:type="spellStart"/>
      <w:r w:rsidRPr="003A1B10">
        <w:rPr>
          <w:rFonts w:ascii="Times New Roman" w:hAnsi="Times New Roman"/>
        </w:rPr>
        <w:t>For</w:t>
      </w:r>
      <w:proofErr w:type="spellEnd"/>
      <w:r w:rsidRPr="003A1B10">
        <w:rPr>
          <w:rFonts w:ascii="Times New Roman" w:hAnsi="Times New Roman"/>
        </w:rPr>
        <w:t xml:space="preserve"> </w:t>
      </w:r>
      <w:proofErr w:type="spellStart"/>
      <w:r w:rsidRPr="003A1B10">
        <w:rPr>
          <w:rFonts w:ascii="Times New Roman" w:hAnsi="Times New Roman"/>
        </w:rPr>
        <w:t>Member</w:t>
      </w:r>
      <w:proofErr w:type="spellEnd"/>
      <w:r w:rsidRPr="003A1B10">
        <w:rPr>
          <w:rFonts w:ascii="Times New Roman" w:hAnsi="Times New Roman"/>
        </w:rPr>
        <w:t xml:space="preserve"> </w:t>
      </w:r>
      <w:proofErr w:type="spellStart"/>
      <w:r w:rsidRPr="003A1B10">
        <w:rPr>
          <w:rFonts w:ascii="Times New Roman" w:hAnsi="Times New Roman"/>
        </w:rPr>
        <w:t>States</w:t>
      </w:r>
      <w:proofErr w:type="spellEnd"/>
      <w:r w:rsidRPr="003A1B10">
        <w:rPr>
          <w:rFonts w:ascii="Times New Roman" w:hAnsi="Times New Roman"/>
        </w:rPr>
        <w:t>, s. 2.</w:t>
      </w:r>
    </w:p>
  </w:footnote>
  <w:footnote w:id="43">
    <w:p w14:paraId="2930C66A" w14:textId="11ACD764" w:rsidR="00336E79" w:rsidRPr="003A1B10" w:rsidRDefault="00336E79" w:rsidP="003A1B10">
      <w:pPr>
        <w:pStyle w:val="Default"/>
        <w:contextualSpacing/>
        <w:jc w:val="both"/>
        <w:rPr>
          <w:rFonts w:ascii="Times New Roman" w:hAnsi="Times New Roman" w:cs="Times New Roman"/>
          <w:color w:val="auto"/>
          <w:sz w:val="20"/>
          <w:szCs w:val="20"/>
        </w:rPr>
      </w:pPr>
      <w:r w:rsidRPr="003A1B10">
        <w:rPr>
          <w:rStyle w:val="FootnoteReference"/>
          <w:rFonts w:ascii="Times New Roman" w:hAnsi="Times New Roman" w:cs="Times New Roman"/>
          <w:color w:val="auto"/>
          <w:sz w:val="20"/>
          <w:szCs w:val="20"/>
        </w:rPr>
        <w:footnoteRef/>
      </w:r>
      <w:r w:rsidRPr="003A1B10">
        <w:rPr>
          <w:rFonts w:ascii="Times New Roman" w:hAnsi="Times New Roman" w:cs="Times New Roman"/>
          <w:color w:val="auto"/>
          <w:sz w:val="20"/>
          <w:szCs w:val="20"/>
        </w:rPr>
        <w:t xml:space="preserve"> </w:t>
      </w:r>
      <w:proofErr w:type="spellStart"/>
      <w:r w:rsidRPr="003A1B10">
        <w:rPr>
          <w:rFonts w:ascii="Times New Roman" w:hAnsi="Times New Roman" w:cs="Times New Roman"/>
          <w:color w:val="auto"/>
          <w:sz w:val="20"/>
          <w:szCs w:val="20"/>
        </w:rPr>
        <w:t>Letter</w:t>
      </w:r>
      <w:proofErr w:type="spellEnd"/>
      <w:r w:rsidRPr="003A1B10">
        <w:rPr>
          <w:rFonts w:ascii="Times New Roman" w:hAnsi="Times New Roman" w:cs="Times New Roman"/>
          <w:color w:val="auto"/>
          <w:sz w:val="20"/>
          <w:szCs w:val="20"/>
        </w:rPr>
        <w:t xml:space="preserve"> </w:t>
      </w:r>
      <w:proofErr w:type="spellStart"/>
      <w:r w:rsidRPr="003A1B10">
        <w:rPr>
          <w:rFonts w:ascii="Times New Roman" w:hAnsi="Times New Roman" w:cs="Times New Roman"/>
          <w:color w:val="auto"/>
          <w:sz w:val="20"/>
          <w:szCs w:val="20"/>
        </w:rPr>
        <w:t>from</w:t>
      </w:r>
      <w:proofErr w:type="spellEnd"/>
      <w:r w:rsidRPr="003A1B10">
        <w:rPr>
          <w:rFonts w:ascii="Times New Roman" w:hAnsi="Times New Roman" w:cs="Times New Roman"/>
          <w:color w:val="auto"/>
          <w:sz w:val="20"/>
          <w:szCs w:val="20"/>
        </w:rPr>
        <w:t xml:space="preserve"> </w:t>
      </w:r>
      <w:proofErr w:type="spellStart"/>
      <w:r w:rsidRPr="003A1B10">
        <w:rPr>
          <w:rFonts w:ascii="Times New Roman" w:hAnsi="Times New Roman" w:cs="Times New Roman"/>
          <w:i/>
          <w:iCs/>
          <w:color w:val="auto"/>
          <w:sz w:val="20"/>
          <w:szCs w:val="20"/>
        </w:rPr>
        <w:t>Marija</w:t>
      </w:r>
      <w:proofErr w:type="spellEnd"/>
      <w:r w:rsidRPr="003A1B10">
        <w:rPr>
          <w:rFonts w:ascii="Times New Roman" w:hAnsi="Times New Roman" w:cs="Times New Roman"/>
          <w:i/>
          <w:iCs/>
          <w:color w:val="auto"/>
          <w:sz w:val="20"/>
          <w:szCs w:val="20"/>
        </w:rPr>
        <w:t xml:space="preserve"> </w:t>
      </w:r>
      <w:proofErr w:type="spellStart"/>
      <w:r w:rsidRPr="003A1B10">
        <w:rPr>
          <w:rFonts w:ascii="Times New Roman" w:hAnsi="Times New Roman" w:cs="Times New Roman"/>
          <w:i/>
          <w:iCs/>
          <w:color w:val="auto"/>
          <w:sz w:val="20"/>
          <w:szCs w:val="20"/>
        </w:rPr>
        <w:t>Pejčinović</w:t>
      </w:r>
      <w:proofErr w:type="spellEnd"/>
      <w:r w:rsidRPr="003A1B10">
        <w:rPr>
          <w:rFonts w:ascii="Times New Roman" w:hAnsi="Times New Roman" w:cs="Times New Roman"/>
          <w:i/>
          <w:iCs/>
          <w:color w:val="auto"/>
          <w:sz w:val="20"/>
          <w:szCs w:val="20"/>
        </w:rPr>
        <w:t xml:space="preserve"> </w:t>
      </w:r>
      <w:proofErr w:type="spellStart"/>
      <w:r w:rsidRPr="003A1B10">
        <w:rPr>
          <w:rFonts w:ascii="Times New Roman" w:hAnsi="Times New Roman" w:cs="Times New Roman"/>
          <w:i/>
          <w:iCs/>
          <w:color w:val="auto"/>
          <w:sz w:val="20"/>
          <w:szCs w:val="20"/>
        </w:rPr>
        <w:t>Burić</w:t>
      </w:r>
      <w:proofErr w:type="spellEnd"/>
      <w:r w:rsidRPr="003A1B10">
        <w:rPr>
          <w:rFonts w:ascii="Times New Roman" w:hAnsi="Times New Roman" w:cs="Times New Roman"/>
          <w:color w:val="auto"/>
          <w:sz w:val="20"/>
          <w:szCs w:val="20"/>
        </w:rPr>
        <w:t xml:space="preserve">, 24.03.2020, </w:t>
      </w:r>
      <w:hyperlink r:id="rId12" w:history="1">
        <w:r w:rsidRPr="003A1B10">
          <w:rPr>
            <w:rStyle w:val="Hyperlink"/>
            <w:rFonts w:ascii="Times New Roman" w:hAnsi="Times New Roman" w:cs="Times New Roman"/>
            <w:color w:val="auto"/>
            <w:sz w:val="20"/>
            <w:szCs w:val="20"/>
            <w:u w:val="none"/>
          </w:rPr>
          <w:t>https://rm.coe.int/orban-pm-hungary-24-03-2020/16809d5f04</w:t>
        </w:r>
      </w:hyperlink>
      <w:r w:rsidRPr="003A1B10">
        <w:rPr>
          <w:rFonts w:ascii="Times New Roman" w:hAnsi="Times New Roman" w:cs="Times New Roman"/>
          <w:color w:val="auto"/>
          <w:sz w:val="20"/>
          <w:szCs w:val="20"/>
        </w:rPr>
        <w:t xml:space="preserve">, e.t. 14.10.2021. Bu noktada, </w:t>
      </w:r>
      <w:r w:rsidRPr="003A1B10">
        <w:rPr>
          <w:rFonts w:ascii="Times New Roman" w:hAnsi="Times New Roman" w:cs="Times New Roman"/>
          <w:color w:val="auto"/>
          <w:sz w:val="20"/>
          <w:szCs w:val="20"/>
          <w:lang w:eastAsia="tr-TR"/>
        </w:rPr>
        <w:t xml:space="preserve">Macaristan için halihazırda Avrupa Birliği Antlaşması’nın temel haklar ve değerlerin ihlali durumunda yaptırım uygulamasını içeren 7. maddesindeki sürecin başlatıldığını da anımsatmak gerekir. Buna ek olarak, Dünya Af Örgütü de benzer açıklamalara yer verirken, yalnızca Macaristan’daki değil, diğer ülkelerdeki salgın gerekçeli hak ihlallerine de değinmiştir. Bkz. </w:t>
      </w:r>
      <w:hyperlink r:id="rId13" w:history="1">
        <w:r w:rsidRPr="003A1B10">
          <w:rPr>
            <w:rStyle w:val="Hyperlink"/>
            <w:rFonts w:ascii="Times New Roman" w:hAnsi="Times New Roman" w:cs="Times New Roman"/>
            <w:color w:val="auto"/>
            <w:sz w:val="20"/>
            <w:szCs w:val="20"/>
            <w:u w:val="none"/>
            <w:lang w:eastAsia="tr-TR"/>
          </w:rPr>
          <w:t>https://www.amnesty.org.tr/icerik/dunyada-korona-mucadelesi-pandemi-hak-ihlallerine-gerekce-olamaz</w:t>
        </w:r>
      </w:hyperlink>
      <w:r w:rsidRPr="003A1B10">
        <w:rPr>
          <w:rFonts w:ascii="Times New Roman" w:hAnsi="Times New Roman" w:cs="Times New Roman"/>
          <w:color w:val="auto"/>
          <w:sz w:val="20"/>
          <w:szCs w:val="20"/>
          <w:lang w:eastAsia="tr-TR"/>
        </w:rPr>
        <w:t>, e.t. 14.10.2021.</w:t>
      </w:r>
    </w:p>
  </w:footnote>
  <w:footnote w:id="44">
    <w:p w14:paraId="56B708FD" w14:textId="1D6AFF2E"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Bkz. </w:t>
      </w:r>
      <w:proofErr w:type="spellStart"/>
      <w:r w:rsidRPr="003A1B10">
        <w:rPr>
          <w:rFonts w:ascii="Times New Roman" w:hAnsi="Times New Roman"/>
        </w:rPr>
        <w:t>The</w:t>
      </w:r>
      <w:proofErr w:type="spellEnd"/>
      <w:r w:rsidRPr="003A1B10">
        <w:rPr>
          <w:rFonts w:ascii="Times New Roman" w:hAnsi="Times New Roman"/>
        </w:rPr>
        <w:t xml:space="preserve"> Role of </w:t>
      </w:r>
      <w:proofErr w:type="spellStart"/>
      <w:r w:rsidRPr="003A1B10">
        <w:rPr>
          <w:rFonts w:ascii="Times New Roman" w:hAnsi="Times New Roman"/>
        </w:rPr>
        <w:t>Armed</w:t>
      </w:r>
      <w:proofErr w:type="spellEnd"/>
      <w:r w:rsidRPr="003A1B10">
        <w:rPr>
          <w:rFonts w:ascii="Times New Roman" w:hAnsi="Times New Roman"/>
        </w:rPr>
        <w:t xml:space="preserve"> </w:t>
      </w:r>
      <w:proofErr w:type="spellStart"/>
      <w:r w:rsidRPr="003A1B10">
        <w:rPr>
          <w:rFonts w:ascii="Times New Roman" w:hAnsi="Times New Roman"/>
        </w:rPr>
        <w:t>Forces</w:t>
      </w:r>
      <w:proofErr w:type="spellEnd"/>
      <w:r w:rsidRPr="003A1B10">
        <w:rPr>
          <w:rFonts w:ascii="Times New Roman" w:hAnsi="Times New Roman"/>
        </w:rPr>
        <w:t xml:space="preserve"> in  </w:t>
      </w:r>
      <w:proofErr w:type="spellStart"/>
      <w:r w:rsidRPr="003A1B10">
        <w:rPr>
          <w:rFonts w:ascii="Times New Roman" w:hAnsi="Times New Roman"/>
        </w:rPr>
        <w:t>the</w:t>
      </w:r>
      <w:proofErr w:type="spellEnd"/>
      <w:r w:rsidRPr="003A1B10">
        <w:rPr>
          <w:rFonts w:ascii="Times New Roman" w:hAnsi="Times New Roman"/>
        </w:rPr>
        <w:t xml:space="preserve"> </w:t>
      </w:r>
      <w:proofErr w:type="spellStart"/>
      <w:r w:rsidRPr="003A1B10">
        <w:rPr>
          <w:rFonts w:ascii="Times New Roman" w:hAnsi="Times New Roman"/>
        </w:rPr>
        <w:t>Fight</w:t>
      </w:r>
      <w:proofErr w:type="spellEnd"/>
      <w:r w:rsidRPr="003A1B10">
        <w:rPr>
          <w:rFonts w:ascii="Times New Roman" w:hAnsi="Times New Roman"/>
        </w:rPr>
        <w:t xml:space="preserve"> </w:t>
      </w:r>
      <w:proofErr w:type="spellStart"/>
      <w:r w:rsidRPr="003A1B10">
        <w:rPr>
          <w:rFonts w:ascii="Times New Roman" w:hAnsi="Times New Roman"/>
        </w:rPr>
        <w:t>Against</w:t>
      </w:r>
      <w:proofErr w:type="spellEnd"/>
      <w:r w:rsidRPr="003A1B10">
        <w:rPr>
          <w:rFonts w:ascii="Times New Roman" w:hAnsi="Times New Roman"/>
        </w:rPr>
        <w:t xml:space="preserve"> </w:t>
      </w:r>
      <w:proofErr w:type="spellStart"/>
      <w:r w:rsidRPr="003A1B10">
        <w:rPr>
          <w:rFonts w:ascii="Times New Roman" w:hAnsi="Times New Roman"/>
        </w:rPr>
        <w:t>Coronavirus</w:t>
      </w:r>
      <w:proofErr w:type="spellEnd"/>
      <w:r w:rsidRPr="003A1B10">
        <w:rPr>
          <w:rFonts w:ascii="Times New Roman" w:hAnsi="Times New Roman"/>
        </w:rPr>
        <w:t>, EPRS/</w:t>
      </w:r>
      <w:proofErr w:type="spellStart"/>
      <w:r w:rsidRPr="003A1B10">
        <w:rPr>
          <w:rFonts w:ascii="Times New Roman" w:hAnsi="Times New Roman"/>
        </w:rPr>
        <w:t>European</w:t>
      </w:r>
      <w:proofErr w:type="spellEnd"/>
      <w:r w:rsidRPr="003A1B10">
        <w:rPr>
          <w:rFonts w:ascii="Times New Roman" w:hAnsi="Times New Roman"/>
        </w:rPr>
        <w:t xml:space="preserve"> </w:t>
      </w:r>
      <w:proofErr w:type="spellStart"/>
      <w:r w:rsidRPr="003A1B10">
        <w:rPr>
          <w:rFonts w:ascii="Times New Roman" w:hAnsi="Times New Roman"/>
        </w:rPr>
        <w:t>Parliamentary</w:t>
      </w:r>
      <w:proofErr w:type="spellEnd"/>
      <w:r w:rsidRPr="003A1B10">
        <w:rPr>
          <w:rFonts w:ascii="Times New Roman" w:hAnsi="Times New Roman"/>
        </w:rPr>
        <w:t xml:space="preserve"> </w:t>
      </w:r>
      <w:proofErr w:type="spellStart"/>
      <w:r w:rsidRPr="003A1B10">
        <w:rPr>
          <w:rFonts w:ascii="Times New Roman" w:hAnsi="Times New Roman"/>
        </w:rPr>
        <w:t>Research</w:t>
      </w:r>
      <w:proofErr w:type="spellEnd"/>
      <w:r w:rsidRPr="003A1B10">
        <w:rPr>
          <w:rFonts w:ascii="Times New Roman" w:hAnsi="Times New Roman"/>
        </w:rPr>
        <w:t xml:space="preserve"> Service, </w:t>
      </w:r>
      <w:hyperlink r:id="rId14" w:history="1">
        <w:r w:rsidRPr="003A1B10">
          <w:rPr>
            <w:rStyle w:val="Hyperlink"/>
            <w:rFonts w:ascii="Times New Roman" w:hAnsi="Times New Roman"/>
            <w:color w:val="auto"/>
            <w:u w:val="none"/>
          </w:rPr>
          <w:t>https://www.europarl.europa.eu/RegData/etudes/BRIE/2020/649401/EPRS_BRI(2020)649401_EN.pdf</w:t>
        </w:r>
      </w:hyperlink>
      <w:r w:rsidRPr="003A1B10">
        <w:rPr>
          <w:rFonts w:ascii="Times New Roman" w:hAnsi="Times New Roman"/>
        </w:rPr>
        <w:t xml:space="preserve">, e.t. 14.10.2021; </w:t>
      </w:r>
      <w:hyperlink r:id="rId15" w:history="1">
        <w:r w:rsidRPr="003A1B10">
          <w:rPr>
            <w:rStyle w:val="Hyperlink"/>
            <w:rFonts w:ascii="Times New Roman" w:hAnsi="Times New Roman"/>
            <w:color w:val="auto"/>
            <w:u w:val="none"/>
          </w:rPr>
          <w:t>https://www.reuters.com/article/us-health-coronavirus-hungary-military-idUSKBN2161C8</w:t>
        </w:r>
      </w:hyperlink>
      <w:r w:rsidRPr="003A1B10">
        <w:rPr>
          <w:rFonts w:ascii="Times New Roman" w:hAnsi="Times New Roman"/>
        </w:rPr>
        <w:t>, e.t. 14.10.2021.</w:t>
      </w:r>
    </w:p>
  </w:footnote>
  <w:footnote w:id="45">
    <w:p w14:paraId="5E9A0700" w14:textId="22AD12C8"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Uygulamalar ve eleştiriler için genel olarak bkz. </w:t>
      </w:r>
      <w:proofErr w:type="spellStart"/>
      <w:r w:rsidRPr="003A1B10">
        <w:rPr>
          <w:rFonts w:ascii="Times New Roman" w:hAnsi="Times New Roman"/>
        </w:rPr>
        <w:t>European</w:t>
      </w:r>
      <w:proofErr w:type="spellEnd"/>
      <w:r w:rsidRPr="003A1B10">
        <w:rPr>
          <w:rFonts w:ascii="Times New Roman" w:hAnsi="Times New Roman"/>
        </w:rPr>
        <w:t xml:space="preserve"> </w:t>
      </w:r>
      <w:proofErr w:type="spellStart"/>
      <w:r w:rsidRPr="003A1B10">
        <w:rPr>
          <w:rFonts w:ascii="Times New Roman" w:hAnsi="Times New Roman"/>
        </w:rPr>
        <w:t>Union</w:t>
      </w:r>
      <w:proofErr w:type="spellEnd"/>
      <w:r w:rsidRPr="003A1B10">
        <w:rPr>
          <w:rFonts w:ascii="Times New Roman" w:hAnsi="Times New Roman"/>
        </w:rPr>
        <w:t xml:space="preserve"> </w:t>
      </w:r>
      <w:proofErr w:type="spellStart"/>
      <w:r w:rsidRPr="003A1B10">
        <w:rPr>
          <w:rFonts w:ascii="Times New Roman" w:hAnsi="Times New Roman"/>
        </w:rPr>
        <w:t>Agency</w:t>
      </w:r>
      <w:proofErr w:type="spellEnd"/>
      <w:r w:rsidRPr="003A1B10">
        <w:rPr>
          <w:rFonts w:ascii="Times New Roman" w:hAnsi="Times New Roman"/>
        </w:rPr>
        <w:t xml:space="preserve"> </w:t>
      </w:r>
      <w:proofErr w:type="spellStart"/>
      <w:r w:rsidRPr="003A1B10">
        <w:rPr>
          <w:rFonts w:ascii="Times New Roman" w:hAnsi="Times New Roman"/>
        </w:rPr>
        <w:t>for</w:t>
      </w:r>
      <w:proofErr w:type="spellEnd"/>
      <w:r w:rsidRPr="003A1B10">
        <w:rPr>
          <w:rFonts w:ascii="Times New Roman" w:hAnsi="Times New Roman"/>
        </w:rPr>
        <w:t xml:space="preserve"> </w:t>
      </w:r>
      <w:proofErr w:type="spellStart"/>
      <w:r w:rsidRPr="003A1B10">
        <w:rPr>
          <w:rFonts w:ascii="Times New Roman" w:hAnsi="Times New Roman"/>
        </w:rPr>
        <w:t>Fundamental</w:t>
      </w:r>
      <w:proofErr w:type="spellEnd"/>
      <w:r w:rsidRPr="003A1B10">
        <w:rPr>
          <w:rFonts w:ascii="Times New Roman" w:hAnsi="Times New Roman"/>
        </w:rPr>
        <w:t xml:space="preserve"> </w:t>
      </w:r>
      <w:proofErr w:type="spellStart"/>
      <w:r w:rsidRPr="003A1B10">
        <w:rPr>
          <w:rFonts w:ascii="Times New Roman" w:hAnsi="Times New Roman"/>
        </w:rPr>
        <w:t>Rights</w:t>
      </w:r>
      <w:proofErr w:type="spellEnd"/>
      <w:r w:rsidRPr="003A1B10">
        <w:rPr>
          <w:rFonts w:ascii="Times New Roman" w:hAnsi="Times New Roman"/>
        </w:rPr>
        <w:t xml:space="preserve">, </w:t>
      </w:r>
      <w:proofErr w:type="spellStart"/>
      <w:r w:rsidRPr="003A1B10">
        <w:rPr>
          <w:rFonts w:ascii="Times New Roman" w:hAnsi="Times New Roman"/>
        </w:rPr>
        <w:t>Coronavirus</w:t>
      </w:r>
      <w:proofErr w:type="spellEnd"/>
      <w:r w:rsidRPr="003A1B10">
        <w:rPr>
          <w:rFonts w:ascii="Times New Roman" w:hAnsi="Times New Roman"/>
        </w:rPr>
        <w:t xml:space="preserve"> (COVID-19) </w:t>
      </w:r>
      <w:proofErr w:type="spellStart"/>
      <w:r w:rsidRPr="003A1B10">
        <w:rPr>
          <w:rFonts w:ascii="Times New Roman" w:hAnsi="Times New Roman"/>
        </w:rPr>
        <w:t>Outbreak</w:t>
      </w:r>
      <w:proofErr w:type="spellEnd"/>
      <w:r w:rsidRPr="003A1B10">
        <w:rPr>
          <w:rFonts w:ascii="Times New Roman" w:hAnsi="Times New Roman"/>
        </w:rPr>
        <w:t xml:space="preserve"> in </w:t>
      </w:r>
      <w:proofErr w:type="spellStart"/>
      <w:r w:rsidRPr="003A1B10">
        <w:rPr>
          <w:rFonts w:ascii="Times New Roman" w:hAnsi="Times New Roman"/>
        </w:rPr>
        <w:t>the</w:t>
      </w:r>
      <w:proofErr w:type="spellEnd"/>
      <w:r w:rsidRPr="003A1B10">
        <w:rPr>
          <w:rFonts w:ascii="Times New Roman" w:hAnsi="Times New Roman"/>
        </w:rPr>
        <w:t xml:space="preserve"> EU </w:t>
      </w:r>
      <w:proofErr w:type="spellStart"/>
      <w:r w:rsidRPr="003A1B10">
        <w:rPr>
          <w:rFonts w:ascii="Times New Roman" w:hAnsi="Times New Roman"/>
        </w:rPr>
        <w:t>Fundamental</w:t>
      </w:r>
      <w:proofErr w:type="spellEnd"/>
      <w:r w:rsidRPr="003A1B10">
        <w:rPr>
          <w:rFonts w:ascii="Times New Roman" w:hAnsi="Times New Roman"/>
        </w:rPr>
        <w:t xml:space="preserve"> </w:t>
      </w:r>
      <w:proofErr w:type="spellStart"/>
      <w:r w:rsidRPr="003A1B10">
        <w:rPr>
          <w:rFonts w:ascii="Times New Roman" w:hAnsi="Times New Roman"/>
        </w:rPr>
        <w:t>Rights</w:t>
      </w:r>
      <w:proofErr w:type="spellEnd"/>
      <w:r w:rsidRPr="003A1B10">
        <w:rPr>
          <w:rFonts w:ascii="Times New Roman" w:hAnsi="Times New Roman"/>
        </w:rPr>
        <w:t xml:space="preserve"> </w:t>
      </w:r>
      <w:proofErr w:type="spellStart"/>
      <w:r w:rsidRPr="003A1B10">
        <w:rPr>
          <w:rFonts w:ascii="Times New Roman" w:hAnsi="Times New Roman"/>
        </w:rPr>
        <w:t>Implications</w:t>
      </w:r>
      <w:proofErr w:type="spellEnd"/>
      <w:r w:rsidRPr="003A1B10">
        <w:rPr>
          <w:rFonts w:ascii="Times New Roman" w:hAnsi="Times New Roman"/>
        </w:rPr>
        <w:t xml:space="preserve">: </w:t>
      </w:r>
      <w:proofErr w:type="spellStart"/>
      <w:r w:rsidRPr="003A1B10">
        <w:rPr>
          <w:rFonts w:ascii="Times New Roman" w:hAnsi="Times New Roman"/>
        </w:rPr>
        <w:t>Hungary</w:t>
      </w:r>
      <w:proofErr w:type="spellEnd"/>
      <w:r w:rsidRPr="003A1B10">
        <w:rPr>
          <w:rFonts w:ascii="Times New Roman" w:hAnsi="Times New Roman"/>
        </w:rPr>
        <w:t>, 03.03.2020;</w:t>
      </w:r>
    </w:p>
  </w:footnote>
  <w:footnote w:id="46">
    <w:p w14:paraId="00D21C59" w14:textId="5682DF32"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Gárdos-Orosz</w:t>
      </w:r>
      <w:proofErr w:type="spellEnd"/>
      <w:r w:rsidRPr="003A1B10">
        <w:rPr>
          <w:rFonts w:ascii="Times New Roman" w:hAnsi="Times New Roman"/>
        </w:rPr>
        <w:t xml:space="preserve">, s. 164. Buna ilişkin aksi bir örnek ABD’dir. Ülkede, </w:t>
      </w:r>
      <w:proofErr w:type="spellStart"/>
      <w:r w:rsidRPr="003A1B10">
        <w:rPr>
          <w:rFonts w:ascii="Times New Roman" w:hAnsi="Times New Roman"/>
        </w:rPr>
        <w:t>pandemi</w:t>
      </w:r>
      <w:proofErr w:type="spellEnd"/>
      <w:r w:rsidRPr="003A1B10">
        <w:rPr>
          <w:rFonts w:ascii="Times New Roman" w:hAnsi="Times New Roman"/>
        </w:rPr>
        <w:t xml:space="preserve"> döneminde ifade özgürlüğünün kullanımına ve kısıtlanmamasına ilişkin özen gösterildiğini ve bu çerçevede aşı ve kısıtlama karşıtlarının da görüşlerini açıklamalarına izin verildiğini görmek mümkündür. Bkz. </w:t>
      </w:r>
      <w:proofErr w:type="spellStart"/>
      <w:r w:rsidRPr="003A1B10">
        <w:rPr>
          <w:rFonts w:ascii="Times New Roman" w:hAnsi="Times New Roman"/>
        </w:rPr>
        <w:t>Ginsburg</w:t>
      </w:r>
      <w:proofErr w:type="spellEnd"/>
      <w:r w:rsidRPr="003A1B10">
        <w:rPr>
          <w:rFonts w:ascii="Times New Roman" w:hAnsi="Times New Roman"/>
        </w:rPr>
        <w:t>, s. 73.</w:t>
      </w:r>
    </w:p>
  </w:footnote>
  <w:footnote w:id="47">
    <w:p w14:paraId="0AE3A90F" w14:textId="26189532"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Bkz. IV/00699/2020 </w:t>
      </w:r>
      <w:proofErr w:type="spellStart"/>
      <w:r w:rsidRPr="003A1B10">
        <w:rPr>
          <w:rFonts w:ascii="Times New Roman" w:hAnsi="Times New Roman"/>
        </w:rPr>
        <w:t>Hungary</w:t>
      </w:r>
      <w:proofErr w:type="spellEnd"/>
      <w:r w:rsidRPr="003A1B10">
        <w:rPr>
          <w:rFonts w:ascii="Times New Roman" w:hAnsi="Times New Roman"/>
        </w:rPr>
        <w:t xml:space="preserve"> </w:t>
      </w:r>
      <w:proofErr w:type="spellStart"/>
      <w:r w:rsidRPr="003A1B10">
        <w:rPr>
          <w:rFonts w:ascii="Times New Roman" w:hAnsi="Times New Roman"/>
        </w:rPr>
        <w:t>Constitutional</w:t>
      </w:r>
      <w:proofErr w:type="spellEnd"/>
      <w:r w:rsidRPr="003A1B10">
        <w:rPr>
          <w:rFonts w:ascii="Times New Roman" w:hAnsi="Times New Roman"/>
        </w:rPr>
        <w:t xml:space="preserve"> Court </w:t>
      </w:r>
      <w:proofErr w:type="spellStart"/>
      <w:r w:rsidRPr="003A1B10">
        <w:rPr>
          <w:rFonts w:ascii="Times New Roman" w:hAnsi="Times New Roman"/>
        </w:rPr>
        <w:t>Decision</w:t>
      </w:r>
      <w:proofErr w:type="spellEnd"/>
      <w:r w:rsidRPr="003A1B10">
        <w:rPr>
          <w:rFonts w:ascii="Times New Roman" w:hAnsi="Times New Roman"/>
        </w:rPr>
        <w:t xml:space="preserve">, 15.04.2020.  </w:t>
      </w:r>
    </w:p>
  </w:footnote>
  <w:footnote w:id="48">
    <w:p w14:paraId="7B2B680D" w14:textId="6935A30B"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Zubik</w:t>
      </w:r>
      <w:proofErr w:type="spellEnd"/>
      <w:r w:rsidRPr="003A1B10">
        <w:rPr>
          <w:rFonts w:ascii="Times New Roman" w:hAnsi="Times New Roman"/>
        </w:rPr>
        <w:t xml:space="preserve"> &amp; </w:t>
      </w:r>
      <w:proofErr w:type="spellStart"/>
      <w:r w:rsidRPr="003A1B10">
        <w:rPr>
          <w:rFonts w:ascii="Times New Roman" w:hAnsi="Times New Roman"/>
        </w:rPr>
        <w:t>Łukowiak</w:t>
      </w:r>
      <w:proofErr w:type="spellEnd"/>
      <w:r w:rsidRPr="003A1B10">
        <w:rPr>
          <w:rFonts w:ascii="Times New Roman" w:hAnsi="Times New Roman"/>
        </w:rPr>
        <w:t>, s. 177.</w:t>
      </w:r>
    </w:p>
  </w:footnote>
  <w:footnote w:id="49">
    <w:p w14:paraId="2CF2A315" w14:textId="50E63D81" w:rsidR="00336E79" w:rsidRPr="003A1B10" w:rsidRDefault="00336E79" w:rsidP="003A1B10">
      <w:pPr>
        <w:spacing w:after="0" w:line="240" w:lineRule="auto"/>
        <w:contextualSpacing/>
        <w:jc w:val="both"/>
        <w:rPr>
          <w:rFonts w:ascii="Times New Roman" w:hAnsi="Times New Roman" w:cs="Times New Roman"/>
          <w:sz w:val="20"/>
          <w:szCs w:val="20"/>
        </w:rPr>
      </w:pPr>
      <w:r w:rsidRPr="003A1B10">
        <w:rPr>
          <w:rStyle w:val="FootnoteReference"/>
          <w:rFonts w:ascii="Times New Roman" w:hAnsi="Times New Roman" w:cs="Times New Roman"/>
          <w:sz w:val="20"/>
          <w:szCs w:val="20"/>
        </w:rPr>
        <w:footnoteRef/>
      </w:r>
      <w:r w:rsidRPr="003A1B10">
        <w:rPr>
          <w:rFonts w:ascii="Times New Roman" w:hAnsi="Times New Roman" w:cs="Times New Roman"/>
          <w:sz w:val="20"/>
          <w:szCs w:val="20"/>
        </w:rPr>
        <w:t xml:space="preserve"> Öyle ki görevde olan Cumhurbaşkanı kendisini var olan parlamento çoğunluğu ile tanımladığından seçimlerin ertelenmesini istememiştir. Anayasa uyarınca olağanüstü h</w:t>
      </w:r>
      <w:r>
        <w:rPr>
          <w:rFonts w:ascii="Times New Roman" w:hAnsi="Times New Roman" w:cs="Times New Roman"/>
          <w:sz w:val="20"/>
          <w:szCs w:val="20"/>
        </w:rPr>
        <w:t>â</w:t>
      </w:r>
      <w:r w:rsidRPr="003A1B10">
        <w:rPr>
          <w:rFonts w:ascii="Times New Roman" w:hAnsi="Times New Roman" w:cs="Times New Roman"/>
          <w:sz w:val="20"/>
          <w:szCs w:val="20"/>
        </w:rPr>
        <w:t>llerde seçimlerin ertelenmesi söz konusu olmaktadır. Buna bağlı olarak, salgın ve bunun ekonomi üzerindeki kanıtlanmış yıkıcı etkisiyle birlikte seçimler ertelenirse, iktidara verilen destekte bir düşüş olacağının düşünüldüğü iddia edilmiştir. Yine, o</w:t>
      </w:r>
      <w:r w:rsidRPr="003A1B10">
        <w:rPr>
          <w:rFonts w:ascii="Times New Roman" w:hAnsi="Times New Roman" w:cs="Times New Roman"/>
          <w:sz w:val="20"/>
          <w:szCs w:val="20"/>
          <w:lang w:eastAsia="tr-TR"/>
        </w:rPr>
        <w:t xml:space="preserve">lağanüstü hâl önlemlerinin alınmamasına ilişkin ikinci argümanın, olağanüstü tedbirler ile hakları sınırlamayı amaçlayan eylemler sonrasında vatandaşlara yüksek tazminat ödenmesi ihtimaline ilişkin duyulan korku olduğu ileri sürülmektedir. </w:t>
      </w:r>
      <w:r w:rsidRPr="003A1B10">
        <w:rPr>
          <w:rFonts w:ascii="Times New Roman" w:hAnsi="Times New Roman" w:cs="Times New Roman"/>
          <w:sz w:val="20"/>
          <w:szCs w:val="20"/>
        </w:rPr>
        <w:t xml:space="preserve">Bkz. </w:t>
      </w:r>
      <w:proofErr w:type="spellStart"/>
      <w:r w:rsidRPr="003A1B10">
        <w:rPr>
          <w:rFonts w:ascii="Times New Roman" w:hAnsi="Times New Roman" w:cs="Times New Roman"/>
          <w:sz w:val="20"/>
          <w:szCs w:val="20"/>
        </w:rPr>
        <w:t>Zubik</w:t>
      </w:r>
      <w:proofErr w:type="spellEnd"/>
      <w:r w:rsidRPr="003A1B10">
        <w:rPr>
          <w:rFonts w:ascii="Times New Roman" w:hAnsi="Times New Roman" w:cs="Times New Roman"/>
          <w:sz w:val="20"/>
          <w:szCs w:val="20"/>
        </w:rPr>
        <w:t xml:space="preserve"> &amp; </w:t>
      </w:r>
      <w:proofErr w:type="spellStart"/>
      <w:r w:rsidRPr="003A1B10">
        <w:rPr>
          <w:rFonts w:ascii="Times New Roman" w:hAnsi="Times New Roman" w:cs="Times New Roman"/>
          <w:sz w:val="20"/>
          <w:szCs w:val="20"/>
        </w:rPr>
        <w:t>Łukowiak</w:t>
      </w:r>
      <w:proofErr w:type="spellEnd"/>
      <w:r w:rsidRPr="003A1B10">
        <w:rPr>
          <w:rFonts w:ascii="Times New Roman" w:hAnsi="Times New Roman" w:cs="Times New Roman"/>
          <w:sz w:val="20"/>
          <w:szCs w:val="20"/>
        </w:rPr>
        <w:t>, s. 177.</w:t>
      </w:r>
    </w:p>
  </w:footnote>
  <w:footnote w:id="50">
    <w:p w14:paraId="20059185" w14:textId="1BAB4C79" w:rsidR="00336E79" w:rsidRPr="003A1B10" w:rsidRDefault="00336E79" w:rsidP="003A1B10">
      <w:pPr>
        <w:spacing w:after="0" w:line="240" w:lineRule="auto"/>
        <w:jc w:val="both"/>
        <w:rPr>
          <w:rFonts w:ascii="Times New Roman" w:hAnsi="Times New Roman" w:cs="Times New Roman"/>
          <w:sz w:val="20"/>
          <w:szCs w:val="20"/>
        </w:rPr>
      </w:pPr>
      <w:r w:rsidRPr="003A1B10">
        <w:rPr>
          <w:rStyle w:val="FootnoteReference"/>
          <w:rFonts w:ascii="Times New Roman" w:hAnsi="Times New Roman" w:cs="Times New Roman"/>
          <w:sz w:val="20"/>
          <w:szCs w:val="20"/>
        </w:rPr>
        <w:footnoteRef/>
      </w:r>
      <w:r w:rsidRPr="003A1B10">
        <w:rPr>
          <w:rFonts w:ascii="Times New Roman" w:hAnsi="Times New Roman" w:cs="Times New Roman"/>
          <w:sz w:val="20"/>
          <w:szCs w:val="20"/>
        </w:rPr>
        <w:t xml:space="preserve"> </w:t>
      </w:r>
      <w:proofErr w:type="spellStart"/>
      <w:r w:rsidRPr="003A1B10">
        <w:rPr>
          <w:rFonts w:ascii="Times New Roman" w:hAnsi="Times New Roman" w:cs="Times New Roman"/>
          <w:sz w:val="20"/>
          <w:szCs w:val="20"/>
        </w:rPr>
        <w:t>Zubik</w:t>
      </w:r>
      <w:proofErr w:type="spellEnd"/>
      <w:r w:rsidRPr="003A1B10">
        <w:rPr>
          <w:rFonts w:ascii="Times New Roman" w:hAnsi="Times New Roman" w:cs="Times New Roman"/>
          <w:sz w:val="20"/>
          <w:szCs w:val="20"/>
        </w:rPr>
        <w:t xml:space="preserve"> &amp; </w:t>
      </w:r>
      <w:proofErr w:type="spellStart"/>
      <w:r w:rsidRPr="003A1B10">
        <w:rPr>
          <w:rFonts w:ascii="Times New Roman" w:hAnsi="Times New Roman" w:cs="Times New Roman"/>
          <w:sz w:val="20"/>
          <w:szCs w:val="20"/>
        </w:rPr>
        <w:t>Łukowiak</w:t>
      </w:r>
      <w:proofErr w:type="spellEnd"/>
      <w:r w:rsidRPr="003A1B10">
        <w:rPr>
          <w:rFonts w:ascii="Times New Roman" w:hAnsi="Times New Roman" w:cs="Times New Roman"/>
          <w:sz w:val="20"/>
          <w:szCs w:val="20"/>
        </w:rPr>
        <w:t>, s. 179.</w:t>
      </w:r>
    </w:p>
  </w:footnote>
  <w:footnote w:id="51">
    <w:p w14:paraId="07F0B596" w14:textId="0517248E"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Buket Ökten Sipahioğlu, “Covid-19 Küresel Salgını Döneminde Hak ve Özgürlüklerin Kısıtlanması: Avrupa Birliği Örneği”, </w:t>
      </w:r>
      <w:r w:rsidRPr="003A1B10">
        <w:rPr>
          <w:rFonts w:ascii="Times New Roman" w:hAnsi="Times New Roman"/>
          <w:i/>
          <w:iCs/>
        </w:rPr>
        <w:t>Türkiye İnsan Hakları ve Eşitlik Kurumu Akademik Dergisi</w:t>
      </w:r>
      <w:r w:rsidRPr="003A1B10">
        <w:rPr>
          <w:rFonts w:ascii="Times New Roman" w:hAnsi="Times New Roman"/>
        </w:rPr>
        <w:t xml:space="preserve">, C. 4, S. 7, 2021, s. 197. Gelen tepkiler nedeniyle yasa tasarısının görüşülmesi ertelenmiştir. </w:t>
      </w:r>
    </w:p>
    <w:p w14:paraId="76BB594F" w14:textId="606E70F8" w:rsidR="00336E79" w:rsidRPr="003A1B10" w:rsidRDefault="00336E79" w:rsidP="003A1B10">
      <w:pPr>
        <w:pStyle w:val="FootnoteText"/>
        <w:ind w:left="0" w:right="0"/>
        <w:jc w:val="both"/>
        <w:rPr>
          <w:rFonts w:ascii="Times New Roman" w:hAnsi="Times New Roman"/>
        </w:rPr>
      </w:pPr>
      <w:r w:rsidRPr="003A1B10">
        <w:rPr>
          <w:rFonts w:ascii="Times New Roman" w:hAnsi="Times New Roman"/>
        </w:rPr>
        <w:t xml:space="preserve">Bkz. </w:t>
      </w:r>
      <w:hyperlink r:id="rId16" w:history="1">
        <w:r w:rsidRPr="003A1B10">
          <w:rPr>
            <w:rStyle w:val="Hyperlink"/>
            <w:rFonts w:ascii="Times New Roman" w:hAnsi="Times New Roman"/>
            <w:color w:val="auto"/>
            <w:u w:val="none"/>
          </w:rPr>
          <w:t>https://www.theguardian.com/world/2020/nov/03/poland-stalls-abortion-ban-amid-nationwide-protests</w:t>
        </w:r>
      </w:hyperlink>
      <w:r w:rsidRPr="003A1B10">
        <w:rPr>
          <w:rFonts w:ascii="Times New Roman" w:hAnsi="Times New Roman"/>
        </w:rPr>
        <w:t xml:space="preserve">, e.t. 14.10.2021. Bununla birlikte, Polonya Anayasa Mahkemesi'nin 27 Ocak 2021 tarihli kürtaj yaptırma koşullarını zorlaştıran kararı bu süreçte </w:t>
      </w:r>
      <w:proofErr w:type="gramStart"/>
      <w:r w:rsidRPr="003A1B10">
        <w:rPr>
          <w:rFonts w:ascii="Times New Roman" w:hAnsi="Times New Roman"/>
        </w:rPr>
        <w:t>Resmi</w:t>
      </w:r>
      <w:proofErr w:type="gramEnd"/>
      <w:r w:rsidRPr="003A1B10">
        <w:rPr>
          <w:rFonts w:ascii="Times New Roman" w:hAnsi="Times New Roman"/>
        </w:rPr>
        <w:t xml:space="preserve"> Gazetede yayınlanarak yürürlüğe girmiştir. Bkz. </w:t>
      </w:r>
      <w:hyperlink r:id="rId17" w:history="1">
        <w:r w:rsidRPr="003A1B10">
          <w:rPr>
            <w:rStyle w:val="Hyperlink"/>
            <w:rFonts w:ascii="Times New Roman" w:hAnsi="Times New Roman"/>
            <w:color w:val="auto"/>
            <w:u w:val="none"/>
          </w:rPr>
          <w:t>https://www.europarl.europa.eu/news/en/agenda/briefing/2021-02-08/16/parliament-to-discuss-the-de-facto-ban-on-abortion-in-poland</w:t>
        </w:r>
      </w:hyperlink>
      <w:r w:rsidRPr="003A1B10">
        <w:rPr>
          <w:rFonts w:ascii="Times New Roman" w:hAnsi="Times New Roman"/>
        </w:rPr>
        <w:t>, e.t. 14.10.2021.</w:t>
      </w:r>
    </w:p>
  </w:footnote>
  <w:footnote w:id="52">
    <w:p w14:paraId="052F7424" w14:textId="283338D8"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Bkz. </w:t>
      </w:r>
      <w:hyperlink r:id="rId18" w:history="1">
        <w:r w:rsidRPr="003A1B10">
          <w:rPr>
            <w:rStyle w:val="Hyperlink"/>
            <w:rFonts w:ascii="Times New Roman" w:hAnsi="Times New Roman"/>
            <w:color w:val="auto"/>
            <w:u w:val="none"/>
          </w:rPr>
          <w:t>https://tr.euronews.com/2021/06/15/macaristan-da-escinselligin-tesvik-edilmesini-yasaklayan-yasa-teklifi-kabul-edildi</w:t>
        </w:r>
      </w:hyperlink>
      <w:r w:rsidRPr="003A1B10">
        <w:rPr>
          <w:rFonts w:ascii="Times New Roman" w:hAnsi="Times New Roman"/>
        </w:rPr>
        <w:t xml:space="preserve">, e.t. 14.10.2021; </w:t>
      </w:r>
      <w:proofErr w:type="spellStart"/>
      <w:r w:rsidRPr="003A1B10">
        <w:rPr>
          <w:rFonts w:ascii="Times New Roman" w:hAnsi="Times New Roman"/>
        </w:rPr>
        <w:t>Council</w:t>
      </w:r>
      <w:proofErr w:type="spellEnd"/>
      <w:r w:rsidRPr="003A1B10">
        <w:rPr>
          <w:rFonts w:ascii="Times New Roman" w:hAnsi="Times New Roman"/>
        </w:rPr>
        <w:t xml:space="preserve"> of Europe, </w:t>
      </w:r>
      <w:r w:rsidRPr="003A1B10">
        <w:rPr>
          <w:rFonts w:ascii="Times New Roman" w:hAnsi="Times New Roman"/>
          <w:i/>
          <w:iCs/>
        </w:rPr>
        <w:t xml:space="preserve">Memorandum on </w:t>
      </w:r>
      <w:proofErr w:type="spellStart"/>
      <w:r w:rsidRPr="003A1B10">
        <w:rPr>
          <w:rFonts w:ascii="Times New Roman" w:hAnsi="Times New Roman"/>
          <w:i/>
          <w:iCs/>
        </w:rPr>
        <w:t>the</w:t>
      </w:r>
      <w:proofErr w:type="spellEnd"/>
      <w:r w:rsidRPr="003A1B10">
        <w:rPr>
          <w:rFonts w:ascii="Times New Roman" w:hAnsi="Times New Roman"/>
          <w:i/>
          <w:iCs/>
        </w:rPr>
        <w:t xml:space="preserve"> </w:t>
      </w:r>
      <w:proofErr w:type="spellStart"/>
      <w:r w:rsidRPr="003A1B10">
        <w:rPr>
          <w:rFonts w:ascii="Times New Roman" w:hAnsi="Times New Roman"/>
          <w:i/>
          <w:iCs/>
        </w:rPr>
        <w:t>Stigmatisation</w:t>
      </w:r>
      <w:proofErr w:type="spellEnd"/>
      <w:r w:rsidRPr="003A1B10">
        <w:rPr>
          <w:rFonts w:ascii="Times New Roman" w:hAnsi="Times New Roman"/>
          <w:i/>
          <w:iCs/>
        </w:rPr>
        <w:t xml:space="preserve"> of LGBTI People in Poland</w:t>
      </w:r>
      <w:r w:rsidRPr="003A1B10">
        <w:rPr>
          <w:rFonts w:ascii="Times New Roman" w:hAnsi="Times New Roman"/>
        </w:rPr>
        <w:t xml:space="preserve">, </w:t>
      </w:r>
      <w:proofErr w:type="spellStart"/>
      <w:r w:rsidRPr="003A1B10">
        <w:rPr>
          <w:rFonts w:ascii="Times New Roman" w:hAnsi="Times New Roman"/>
        </w:rPr>
        <w:t>CommDH</w:t>
      </w:r>
      <w:proofErr w:type="spellEnd"/>
      <w:r w:rsidRPr="003A1B10">
        <w:rPr>
          <w:rFonts w:ascii="Times New Roman" w:hAnsi="Times New Roman"/>
        </w:rPr>
        <w:t xml:space="preserve"> (2020)27, 03.12.2020.</w:t>
      </w:r>
    </w:p>
  </w:footnote>
  <w:footnote w:id="53">
    <w:p w14:paraId="28FA6A39" w14:textId="3E3B8539"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r w:rsidRPr="00336E79">
        <w:rPr>
          <w:rFonts w:ascii="Times New Roman" w:hAnsi="Times New Roman"/>
        </w:rPr>
        <w:t xml:space="preserve">Covid-19 </w:t>
      </w:r>
      <w:proofErr w:type="spellStart"/>
      <w:r w:rsidRPr="00336E79">
        <w:rPr>
          <w:rFonts w:ascii="Times New Roman" w:hAnsi="Times New Roman"/>
        </w:rPr>
        <w:t>and</w:t>
      </w:r>
      <w:proofErr w:type="spellEnd"/>
      <w:r w:rsidRPr="00336E79">
        <w:rPr>
          <w:rFonts w:ascii="Times New Roman" w:hAnsi="Times New Roman"/>
        </w:rPr>
        <w:t xml:space="preserve"> </w:t>
      </w:r>
      <w:proofErr w:type="spellStart"/>
      <w:r w:rsidRPr="00336E79">
        <w:rPr>
          <w:rFonts w:ascii="Times New Roman" w:hAnsi="Times New Roman"/>
        </w:rPr>
        <w:t>the</w:t>
      </w:r>
      <w:proofErr w:type="spellEnd"/>
      <w:r w:rsidRPr="00336E79">
        <w:rPr>
          <w:rFonts w:ascii="Times New Roman" w:hAnsi="Times New Roman"/>
        </w:rPr>
        <w:t xml:space="preserve"> </w:t>
      </w:r>
      <w:proofErr w:type="spellStart"/>
      <w:r w:rsidRPr="00336E79">
        <w:rPr>
          <w:rFonts w:ascii="Times New Roman" w:hAnsi="Times New Roman"/>
        </w:rPr>
        <w:t>Impact</w:t>
      </w:r>
      <w:proofErr w:type="spellEnd"/>
      <w:r w:rsidRPr="00336E79">
        <w:rPr>
          <w:rFonts w:ascii="Times New Roman" w:hAnsi="Times New Roman"/>
        </w:rPr>
        <w:t xml:space="preserve"> on Human </w:t>
      </w:r>
      <w:proofErr w:type="spellStart"/>
      <w:r w:rsidRPr="00336E79">
        <w:rPr>
          <w:rFonts w:ascii="Times New Roman" w:hAnsi="Times New Roman"/>
        </w:rPr>
        <w:t>Rights</w:t>
      </w:r>
      <w:proofErr w:type="spellEnd"/>
      <w:r w:rsidRPr="00336E79">
        <w:rPr>
          <w:rFonts w:ascii="Times New Roman" w:hAnsi="Times New Roman"/>
        </w:rPr>
        <w:t xml:space="preserve"> An </w:t>
      </w:r>
      <w:proofErr w:type="spellStart"/>
      <w:r>
        <w:rPr>
          <w:rFonts w:ascii="Times New Roman" w:hAnsi="Times New Roman"/>
        </w:rPr>
        <w:t>O</w:t>
      </w:r>
      <w:r w:rsidRPr="00336E79">
        <w:rPr>
          <w:rFonts w:ascii="Times New Roman" w:hAnsi="Times New Roman"/>
        </w:rPr>
        <w:t>verview</w:t>
      </w:r>
      <w:proofErr w:type="spellEnd"/>
      <w:r w:rsidRPr="00336E79">
        <w:rPr>
          <w:rFonts w:ascii="Times New Roman" w:hAnsi="Times New Roman"/>
        </w:rPr>
        <w:t xml:space="preserve"> of </w:t>
      </w:r>
      <w:proofErr w:type="spellStart"/>
      <w:r>
        <w:rPr>
          <w:rFonts w:ascii="Times New Roman" w:hAnsi="Times New Roman"/>
        </w:rPr>
        <w:t>R</w:t>
      </w:r>
      <w:r w:rsidRPr="00336E79">
        <w:rPr>
          <w:rFonts w:ascii="Times New Roman" w:hAnsi="Times New Roman"/>
        </w:rPr>
        <w:t>elevant</w:t>
      </w:r>
      <w:proofErr w:type="spellEnd"/>
      <w:r w:rsidRPr="00336E79">
        <w:rPr>
          <w:rFonts w:ascii="Times New Roman" w:hAnsi="Times New Roman"/>
        </w:rPr>
        <w:t xml:space="preserve"> </w:t>
      </w:r>
      <w:proofErr w:type="spellStart"/>
      <w:r>
        <w:rPr>
          <w:rFonts w:ascii="Times New Roman" w:hAnsi="Times New Roman"/>
        </w:rPr>
        <w:t>J</w:t>
      </w:r>
      <w:r w:rsidRPr="00336E79">
        <w:rPr>
          <w:rFonts w:ascii="Times New Roman" w:hAnsi="Times New Roman"/>
        </w:rPr>
        <w:t>urisprudence</w:t>
      </w:r>
      <w:proofErr w:type="spellEnd"/>
      <w:r w:rsidRPr="00336E79">
        <w:rPr>
          <w:rFonts w:ascii="Times New Roman" w:hAnsi="Times New Roman"/>
        </w:rPr>
        <w:t xml:space="preserve"> of </w:t>
      </w:r>
      <w:proofErr w:type="spellStart"/>
      <w:r w:rsidRPr="00336E79">
        <w:rPr>
          <w:rFonts w:ascii="Times New Roman" w:hAnsi="Times New Roman"/>
        </w:rPr>
        <w:t>the</w:t>
      </w:r>
      <w:proofErr w:type="spellEnd"/>
      <w:r w:rsidRPr="00336E79">
        <w:rPr>
          <w:rFonts w:ascii="Times New Roman" w:hAnsi="Times New Roman"/>
        </w:rPr>
        <w:t xml:space="preserve"> </w:t>
      </w:r>
      <w:proofErr w:type="spellStart"/>
      <w:r w:rsidRPr="00336E79">
        <w:rPr>
          <w:rFonts w:ascii="Times New Roman" w:hAnsi="Times New Roman"/>
        </w:rPr>
        <w:t>European</w:t>
      </w:r>
      <w:proofErr w:type="spellEnd"/>
      <w:r w:rsidRPr="00336E79">
        <w:rPr>
          <w:rFonts w:ascii="Times New Roman" w:hAnsi="Times New Roman"/>
        </w:rPr>
        <w:t xml:space="preserve"> Court of Human </w:t>
      </w:r>
      <w:proofErr w:type="spellStart"/>
      <w:r w:rsidRPr="00336E79">
        <w:rPr>
          <w:rFonts w:ascii="Times New Roman" w:hAnsi="Times New Roman"/>
        </w:rPr>
        <w:t>Rights</w:t>
      </w:r>
      <w:proofErr w:type="spellEnd"/>
      <w:r w:rsidRPr="00336E79">
        <w:rPr>
          <w:rFonts w:ascii="Times New Roman" w:hAnsi="Times New Roman"/>
        </w:rPr>
        <w:t>,</w:t>
      </w:r>
      <w:r w:rsidRPr="003A1B10">
        <w:rPr>
          <w:rFonts w:ascii="Times New Roman" w:hAnsi="Times New Roman"/>
        </w:rPr>
        <w:t xml:space="preserve"> </w:t>
      </w:r>
      <w:proofErr w:type="spellStart"/>
      <w:r w:rsidRPr="003A1B10">
        <w:rPr>
          <w:rFonts w:ascii="Times New Roman" w:hAnsi="Times New Roman"/>
        </w:rPr>
        <w:t>The</w:t>
      </w:r>
      <w:proofErr w:type="spellEnd"/>
      <w:r w:rsidRPr="003A1B10">
        <w:rPr>
          <w:rFonts w:ascii="Times New Roman" w:hAnsi="Times New Roman"/>
        </w:rPr>
        <w:t xml:space="preserve"> AIRE </w:t>
      </w:r>
      <w:proofErr w:type="spellStart"/>
      <w:r w:rsidRPr="003A1B10">
        <w:rPr>
          <w:rFonts w:ascii="Times New Roman" w:hAnsi="Times New Roman"/>
        </w:rPr>
        <w:t>Centre</w:t>
      </w:r>
      <w:proofErr w:type="spellEnd"/>
      <w:r w:rsidRPr="003A1B10">
        <w:rPr>
          <w:rFonts w:ascii="Times New Roman" w:hAnsi="Times New Roman"/>
        </w:rPr>
        <w:t xml:space="preserve"> / </w:t>
      </w:r>
      <w:proofErr w:type="spellStart"/>
      <w:r w:rsidRPr="003A1B10">
        <w:rPr>
          <w:rFonts w:ascii="Times New Roman" w:hAnsi="Times New Roman"/>
        </w:rPr>
        <w:t>Civil</w:t>
      </w:r>
      <w:proofErr w:type="spellEnd"/>
      <w:r w:rsidRPr="003A1B10">
        <w:rPr>
          <w:rFonts w:ascii="Times New Roman" w:hAnsi="Times New Roman"/>
        </w:rPr>
        <w:t xml:space="preserve"> </w:t>
      </w:r>
      <w:proofErr w:type="spellStart"/>
      <w:r w:rsidRPr="003A1B10">
        <w:rPr>
          <w:rFonts w:ascii="Times New Roman" w:hAnsi="Times New Roman"/>
        </w:rPr>
        <w:t>Rights</w:t>
      </w:r>
      <w:proofErr w:type="spellEnd"/>
      <w:r w:rsidRPr="003A1B10">
        <w:rPr>
          <w:rFonts w:ascii="Times New Roman" w:hAnsi="Times New Roman"/>
        </w:rPr>
        <w:t xml:space="preserve"> </w:t>
      </w:r>
      <w:proofErr w:type="spellStart"/>
      <w:r w:rsidRPr="003A1B10">
        <w:rPr>
          <w:rFonts w:ascii="Times New Roman" w:hAnsi="Times New Roman"/>
        </w:rPr>
        <w:t>Defenders</w:t>
      </w:r>
      <w:proofErr w:type="spellEnd"/>
      <w:r w:rsidRPr="003A1B10">
        <w:rPr>
          <w:rFonts w:ascii="Times New Roman" w:hAnsi="Times New Roman"/>
        </w:rPr>
        <w:t>, 2020, s. 134-140.</w:t>
      </w:r>
    </w:p>
  </w:footnote>
  <w:footnote w:id="54">
    <w:p w14:paraId="7FAF0FBF" w14:textId="3BD26FF6" w:rsidR="00336E79" w:rsidRPr="003A1B10" w:rsidRDefault="00336E79" w:rsidP="003A1B10">
      <w:pPr>
        <w:spacing w:after="0" w:line="240" w:lineRule="auto"/>
        <w:contextualSpacing/>
        <w:jc w:val="both"/>
        <w:rPr>
          <w:rFonts w:ascii="Times New Roman" w:hAnsi="Times New Roman" w:cs="Times New Roman"/>
          <w:sz w:val="20"/>
          <w:szCs w:val="20"/>
        </w:rPr>
      </w:pPr>
      <w:r w:rsidRPr="003A1B10">
        <w:rPr>
          <w:rStyle w:val="FootnoteReference"/>
          <w:rFonts w:ascii="Times New Roman" w:hAnsi="Times New Roman" w:cs="Times New Roman"/>
          <w:sz w:val="20"/>
          <w:szCs w:val="20"/>
        </w:rPr>
        <w:footnoteRef/>
      </w:r>
      <w:r w:rsidRPr="003A1B10">
        <w:rPr>
          <w:rFonts w:ascii="Times New Roman" w:hAnsi="Times New Roman" w:cs="Times New Roman"/>
          <w:sz w:val="20"/>
          <w:szCs w:val="20"/>
        </w:rPr>
        <w:t xml:space="preserve"> Polonya Anayasası’nın</w:t>
      </w:r>
      <w:r w:rsidRPr="003A1B10">
        <w:rPr>
          <w:rFonts w:ascii="Times New Roman" w:hAnsi="Times New Roman" w:cs="Times New Roman"/>
          <w:sz w:val="20"/>
          <w:szCs w:val="20"/>
          <w:lang w:eastAsia="tr-TR"/>
        </w:rPr>
        <w:t xml:space="preserve"> bütçe açığının bu şekilde kapatılmasını açıkça yasakladığını da not etmek gerekir. Bkz. </w:t>
      </w:r>
      <w:proofErr w:type="spellStart"/>
      <w:r w:rsidRPr="003A1B10">
        <w:rPr>
          <w:rFonts w:ascii="Times New Roman" w:hAnsi="Times New Roman" w:cs="Times New Roman"/>
          <w:sz w:val="20"/>
          <w:szCs w:val="20"/>
        </w:rPr>
        <w:t>Zubik</w:t>
      </w:r>
      <w:proofErr w:type="spellEnd"/>
      <w:r w:rsidRPr="003A1B10">
        <w:rPr>
          <w:rFonts w:ascii="Times New Roman" w:hAnsi="Times New Roman" w:cs="Times New Roman"/>
          <w:sz w:val="20"/>
          <w:szCs w:val="20"/>
        </w:rPr>
        <w:t xml:space="preserve"> &amp; </w:t>
      </w:r>
      <w:proofErr w:type="spellStart"/>
      <w:r w:rsidRPr="003A1B10">
        <w:rPr>
          <w:rFonts w:ascii="Times New Roman" w:hAnsi="Times New Roman" w:cs="Times New Roman"/>
          <w:sz w:val="20"/>
          <w:szCs w:val="20"/>
        </w:rPr>
        <w:t>Łukowiak</w:t>
      </w:r>
      <w:proofErr w:type="spellEnd"/>
      <w:r w:rsidRPr="003A1B10">
        <w:rPr>
          <w:rFonts w:ascii="Times New Roman" w:hAnsi="Times New Roman" w:cs="Times New Roman"/>
          <w:sz w:val="20"/>
          <w:szCs w:val="20"/>
        </w:rPr>
        <w:t>, s. 179-180.</w:t>
      </w:r>
    </w:p>
  </w:footnote>
  <w:footnote w:id="55">
    <w:p w14:paraId="25E1EDDE" w14:textId="77777777"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r w:rsidRPr="003A1B10">
        <w:rPr>
          <w:rFonts w:ascii="Times New Roman" w:hAnsi="Times New Roman"/>
          <w:lang w:eastAsia="tr-TR"/>
        </w:rPr>
        <w:t>RG. 10.7.2018, S. 30474.</w:t>
      </w:r>
    </w:p>
  </w:footnote>
  <w:footnote w:id="56">
    <w:p w14:paraId="5BEE1613" w14:textId="74F80CFF"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Selin Esen, “</w:t>
      </w:r>
      <w:proofErr w:type="spellStart"/>
      <w:r w:rsidRPr="003A1B10">
        <w:rPr>
          <w:rFonts w:ascii="Times New Roman" w:hAnsi="Times New Roman"/>
        </w:rPr>
        <w:t>Impacts</w:t>
      </w:r>
      <w:proofErr w:type="spellEnd"/>
      <w:r w:rsidRPr="003A1B10">
        <w:rPr>
          <w:rFonts w:ascii="Times New Roman" w:hAnsi="Times New Roman"/>
        </w:rPr>
        <w:t xml:space="preserve"> of </w:t>
      </w:r>
      <w:proofErr w:type="spellStart"/>
      <w:r w:rsidRPr="003A1B10">
        <w:rPr>
          <w:rFonts w:ascii="Times New Roman" w:hAnsi="Times New Roman"/>
        </w:rPr>
        <w:t>the</w:t>
      </w:r>
      <w:proofErr w:type="spellEnd"/>
      <w:r w:rsidRPr="003A1B10">
        <w:rPr>
          <w:rFonts w:ascii="Times New Roman" w:hAnsi="Times New Roman"/>
        </w:rPr>
        <w:t xml:space="preserve"> Covid-19 </w:t>
      </w:r>
      <w:proofErr w:type="spellStart"/>
      <w:r w:rsidRPr="003A1B10">
        <w:rPr>
          <w:rFonts w:ascii="Times New Roman" w:hAnsi="Times New Roman"/>
        </w:rPr>
        <w:t>Pandamic</w:t>
      </w:r>
      <w:proofErr w:type="spellEnd"/>
      <w:r w:rsidRPr="003A1B10">
        <w:rPr>
          <w:rFonts w:ascii="Times New Roman" w:hAnsi="Times New Roman"/>
        </w:rPr>
        <w:t xml:space="preserve"> on </w:t>
      </w:r>
      <w:proofErr w:type="spellStart"/>
      <w:r w:rsidRPr="003A1B10">
        <w:rPr>
          <w:rFonts w:ascii="Times New Roman" w:hAnsi="Times New Roman"/>
        </w:rPr>
        <w:t>the</w:t>
      </w:r>
      <w:proofErr w:type="spellEnd"/>
      <w:r w:rsidRPr="003A1B10">
        <w:rPr>
          <w:rFonts w:ascii="Times New Roman" w:hAnsi="Times New Roman"/>
        </w:rPr>
        <w:t xml:space="preserve"> </w:t>
      </w:r>
      <w:proofErr w:type="spellStart"/>
      <w:r w:rsidRPr="003A1B10">
        <w:rPr>
          <w:rFonts w:ascii="Times New Roman" w:hAnsi="Times New Roman"/>
        </w:rPr>
        <w:t>Constitutional</w:t>
      </w:r>
      <w:proofErr w:type="spellEnd"/>
      <w:r w:rsidRPr="003A1B10">
        <w:rPr>
          <w:rFonts w:ascii="Times New Roman" w:hAnsi="Times New Roman"/>
        </w:rPr>
        <w:t xml:space="preserve"> </w:t>
      </w:r>
      <w:proofErr w:type="spellStart"/>
      <w:r w:rsidRPr="003A1B10">
        <w:rPr>
          <w:rFonts w:ascii="Times New Roman" w:hAnsi="Times New Roman"/>
        </w:rPr>
        <w:t>Rights</w:t>
      </w:r>
      <w:proofErr w:type="spellEnd"/>
      <w:r w:rsidRPr="003A1B10">
        <w:rPr>
          <w:rFonts w:ascii="Times New Roman" w:hAnsi="Times New Roman"/>
        </w:rPr>
        <w:t xml:space="preserve"> </w:t>
      </w:r>
      <w:proofErr w:type="spellStart"/>
      <w:r w:rsidRPr="003A1B10">
        <w:rPr>
          <w:rFonts w:ascii="Times New Roman" w:hAnsi="Times New Roman"/>
        </w:rPr>
        <w:t>In</w:t>
      </w:r>
      <w:proofErr w:type="spellEnd"/>
      <w:r w:rsidRPr="003A1B10">
        <w:rPr>
          <w:rFonts w:ascii="Times New Roman" w:hAnsi="Times New Roman"/>
        </w:rPr>
        <w:t xml:space="preserve"> </w:t>
      </w:r>
      <w:proofErr w:type="spellStart"/>
      <w:r w:rsidRPr="003A1B10">
        <w:rPr>
          <w:rFonts w:ascii="Times New Roman" w:hAnsi="Times New Roman"/>
        </w:rPr>
        <w:t>Turkey</w:t>
      </w:r>
      <w:proofErr w:type="spellEnd"/>
      <w:r w:rsidRPr="003A1B10">
        <w:rPr>
          <w:rFonts w:ascii="Times New Roman" w:hAnsi="Times New Roman"/>
        </w:rPr>
        <w:t xml:space="preserve">”, </w:t>
      </w:r>
      <w:r w:rsidRPr="003A1B10">
        <w:rPr>
          <w:rFonts w:ascii="Times New Roman" w:hAnsi="Times New Roman"/>
          <w:i/>
          <w:iCs/>
        </w:rPr>
        <w:t xml:space="preserve">Covid-19 </w:t>
      </w:r>
      <w:proofErr w:type="spellStart"/>
      <w:r w:rsidRPr="003A1B10">
        <w:rPr>
          <w:rFonts w:ascii="Times New Roman" w:hAnsi="Times New Roman"/>
          <w:i/>
          <w:iCs/>
        </w:rPr>
        <w:t>and</w:t>
      </w:r>
      <w:proofErr w:type="spellEnd"/>
      <w:r w:rsidRPr="003A1B10">
        <w:rPr>
          <w:rFonts w:ascii="Times New Roman" w:hAnsi="Times New Roman"/>
          <w:i/>
          <w:iCs/>
        </w:rPr>
        <w:t xml:space="preserve"> </w:t>
      </w:r>
      <w:proofErr w:type="spellStart"/>
      <w:r w:rsidRPr="003A1B10">
        <w:rPr>
          <w:rFonts w:ascii="Times New Roman" w:hAnsi="Times New Roman"/>
          <w:i/>
          <w:iCs/>
        </w:rPr>
        <w:t>Constitutional</w:t>
      </w:r>
      <w:proofErr w:type="spellEnd"/>
      <w:r w:rsidRPr="003A1B10">
        <w:rPr>
          <w:rFonts w:ascii="Times New Roman" w:hAnsi="Times New Roman"/>
          <w:i/>
          <w:iCs/>
        </w:rPr>
        <w:t xml:space="preserve"> </w:t>
      </w:r>
      <w:proofErr w:type="spellStart"/>
      <w:r w:rsidRPr="003A1B10">
        <w:rPr>
          <w:rFonts w:ascii="Times New Roman" w:hAnsi="Times New Roman"/>
          <w:i/>
          <w:iCs/>
        </w:rPr>
        <w:t>Law</w:t>
      </w:r>
      <w:proofErr w:type="spellEnd"/>
      <w:r w:rsidRPr="003A1B10">
        <w:rPr>
          <w:rFonts w:ascii="Times New Roman" w:hAnsi="Times New Roman"/>
        </w:rPr>
        <w:t xml:space="preserve"> (ed. </w:t>
      </w:r>
      <w:proofErr w:type="spellStart"/>
      <w:r w:rsidRPr="003A1B10">
        <w:rPr>
          <w:rFonts w:ascii="Times New Roman" w:hAnsi="Times New Roman"/>
        </w:rPr>
        <w:t>Serna</w:t>
      </w:r>
      <w:proofErr w:type="spellEnd"/>
      <w:r w:rsidRPr="003A1B10">
        <w:rPr>
          <w:rFonts w:ascii="Times New Roman" w:hAnsi="Times New Roman"/>
        </w:rPr>
        <w:t xml:space="preserve"> de la </w:t>
      </w:r>
      <w:proofErr w:type="spellStart"/>
      <w:r w:rsidRPr="003A1B10">
        <w:rPr>
          <w:rFonts w:ascii="Times New Roman" w:hAnsi="Times New Roman"/>
        </w:rPr>
        <w:t>Garza</w:t>
      </w:r>
      <w:proofErr w:type="spellEnd"/>
      <w:r w:rsidRPr="003A1B10">
        <w:rPr>
          <w:rFonts w:ascii="Times New Roman" w:hAnsi="Times New Roman"/>
        </w:rPr>
        <w:t xml:space="preserve">, </w:t>
      </w:r>
      <w:proofErr w:type="spellStart"/>
      <w:r w:rsidRPr="003A1B10">
        <w:rPr>
          <w:rFonts w:ascii="Times New Roman" w:hAnsi="Times New Roman"/>
        </w:rPr>
        <w:t>José</w:t>
      </w:r>
      <w:proofErr w:type="spellEnd"/>
      <w:r w:rsidRPr="003A1B10">
        <w:rPr>
          <w:rFonts w:ascii="Times New Roman" w:hAnsi="Times New Roman"/>
        </w:rPr>
        <w:t xml:space="preserve"> </w:t>
      </w:r>
      <w:proofErr w:type="spellStart"/>
      <w:r w:rsidRPr="003A1B10">
        <w:rPr>
          <w:rFonts w:ascii="Times New Roman" w:hAnsi="Times New Roman"/>
        </w:rPr>
        <w:t>María</w:t>
      </w:r>
      <w:proofErr w:type="spellEnd"/>
      <w:r w:rsidRPr="003A1B10">
        <w:rPr>
          <w:rFonts w:ascii="Times New Roman" w:hAnsi="Times New Roman"/>
        </w:rPr>
        <w:t xml:space="preserve">), </w:t>
      </w:r>
      <w:proofErr w:type="spellStart"/>
      <w:r w:rsidRPr="003A1B10">
        <w:rPr>
          <w:rFonts w:ascii="Times New Roman" w:hAnsi="Times New Roman"/>
        </w:rPr>
        <w:t>Instituto</w:t>
      </w:r>
      <w:proofErr w:type="spellEnd"/>
      <w:r w:rsidRPr="003A1B10">
        <w:rPr>
          <w:rFonts w:ascii="Times New Roman" w:hAnsi="Times New Roman"/>
        </w:rPr>
        <w:t xml:space="preserve"> De </w:t>
      </w:r>
      <w:proofErr w:type="spellStart"/>
      <w:r w:rsidRPr="003A1B10">
        <w:rPr>
          <w:rFonts w:ascii="Times New Roman" w:hAnsi="Times New Roman"/>
        </w:rPr>
        <w:t>Investigaciones</w:t>
      </w:r>
      <w:proofErr w:type="spellEnd"/>
      <w:r w:rsidRPr="003A1B10">
        <w:rPr>
          <w:rFonts w:ascii="Times New Roman" w:hAnsi="Times New Roman"/>
        </w:rPr>
        <w:t xml:space="preserve"> </w:t>
      </w:r>
      <w:proofErr w:type="spellStart"/>
      <w:r w:rsidRPr="003A1B10">
        <w:rPr>
          <w:rFonts w:ascii="Times New Roman" w:hAnsi="Times New Roman"/>
        </w:rPr>
        <w:t>Jurídicas</w:t>
      </w:r>
      <w:proofErr w:type="spellEnd"/>
      <w:r w:rsidRPr="003A1B10">
        <w:rPr>
          <w:rFonts w:ascii="Times New Roman" w:hAnsi="Times New Roman"/>
        </w:rPr>
        <w:t xml:space="preserve">, 2020, s. 215-216. Kemal </w:t>
      </w:r>
      <w:r w:rsidRPr="003A1B10">
        <w:rPr>
          <w:rFonts w:ascii="Times New Roman" w:hAnsi="Times New Roman"/>
          <w:lang w:eastAsia="tr-TR"/>
        </w:rPr>
        <w:t xml:space="preserve">Gözler, “Korona Virüs Salgınıyla Mücadele İçin Alınan Tedbirler Hukuka Uygun Mu?”, </w:t>
      </w:r>
      <w:hyperlink r:id="rId19" w:history="1">
        <w:r w:rsidRPr="003A1B10">
          <w:rPr>
            <w:rStyle w:val="Hyperlink"/>
            <w:rFonts w:ascii="Times New Roman" w:hAnsi="Times New Roman"/>
            <w:color w:val="auto"/>
            <w:u w:val="none"/>
            <w:lang w:eastAsia="tr-TR"/>
          </w:rPr>
          <w:t>www.anayasa.gen.tr/korona.htm</w:t>
        </w:r>
      </w:hyperlink>
      <w:r w:rsidRPr="003A1B10">
        <w:rPr>
          <w:rFonts w:ascii="Times New Roman" w:hAnsi="Times New Roman"/>
          <w:lang w:eastAsia="tr-TR"/>
        </w:rPr>
        <w:t>, e.t. 14.10.2021.</w:t>
      </w:r>
    </w:p>
  </w:footnote>
  <w:footnote w:id="57">
    <w:p w14:paraId="40C06C24" w14:textId="05E480C8"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7226 sayılı Bazı Kanunlarda Değişiklik Yapılmasına Dair Kanun, 25.3.2020, RG. 26.03.2020, S. 31080 (Mükerrer).</w:t>
      </w:r>
    </w:p>
  </w:footnote>
  <w:footnote w:id="58">
    <w:p w14:paraId="2EB68A1A" w14:textId="25423724"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7244 sayılı Yeni </w:t>
      </w:r>
      <w:proofErr w:type="spellStart"/>
      <w:r w:rsidRPr="003A1B10">
        <w:rPr>
          <w:rFonts w:ascii="Times New Roman" w:hAnsi="Times New Roman"/>
        </w:rPr>
        <w:t>Koronavirüs</w:t>
      </w:r>
      <w:proofErr w:type="spellEnd"/>
      <w:r w:rsidRPr="003A1B10">
        <w:rPr>
          <w:rFonts w:ascii="Times New Roman" w:hAnsi="Times New Roman"/>
        </w:rPr>
        <w:t xml:space="preserve"> (Covid-19) Salgınının Ekonomik ve Sosyal Hayata Etkilerinin Azaltılması Hakkında Kanun ile Bazı Kanunlarda Değişiklik Yapılmasına Dair Kanun, 16.4.2020, RG.17.04.2020, S. 31102.</w:t>
      </w:r>
    </w:p>
  </w:footnote>
  <w:footnote w:id="59">
    <w:p w14:paraId="3BC46AB5" w14:textId="51692BE1"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7256 Sayılı Bazı Alacakların Yeniden Yapılandırılması ile Bazı Kanunlarda Değişiklik Yapılması Hakkında Kanun, 11.11.2020, RG. 17.11.2020, S. 31307.</w:t>
      </w:r>
    </w:p>
  </w:footnote>
  <w:footnote w:id="60">
    <w:p w14:paraId="25C01CC3" w14:textId="57CA1BFD"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European</w:t>
      </w:r>
      <w:proofErr w:type="spellEnd"/>
      <w:r w:rsidRPr="003A1B10">
        <w:rPr>
          <w:rFonts w:ascii="Times New Roman" w:hAnsi="Times New Roman"/>
        </w:rPr>
        <w:t xml:space="preserve"> </w:t>
      </w:r>
      <w:proofErr w:type="spellStart"/>
      <w:r w:rsidRPr="003A1B10">
        <w:rPr>
          <w:rFonts w:ascii="Times New Roman" w:hAnsi="Times New Roman"/>
        </w:rPr>
        <w:t>Commission</w:t>
      </w:r>
      <w:proofErr w:type="spellEnd"/>
      <w:r w:rsidRPr="003A1B10">
        <w:rPr>
          <w:rFonts w:ascii="Times New Roman" w:hAnsi="Times New Roman"/>
        </w:rPr>
        <w:t xml:space="preserve"> </w:t>
      </w:r>
      <w:proofErr w:type="spellStart"/>
      <w:r w:rsidRPr="003A1B10">
        <w:rPr>
          <w:rFonts w:ascii="Times New Roman" w:hAnsi="Times New Roman"/>
        </w:rPr>
        <w:t>For</w:t>
      </w:r>
      <w:proofErr w:type="spellEnd"/>
      <w:r w:rsidRPr="003A1B10">
        <w:rPr>
          <w:rFonts w:ascii="Times New Roman" w:hAnsi="Times New Roman"/>
        </w:rPr>
        <w:t xml:space="preserve"> </w:t>
      </w:r>
      <w:proofErr w:type="spellStart"/>
      <w:r w:rsidRPr="003A1B10">
        <w:rPr>
          <w:rFonts w:ascii="Times New Roman" w:hAnsi="Times New Roman"/>
        </w:rPr>
        <w:t>Democracy</w:t>
      </w:r>
      <w:proofErr w:type="spellEnd"/>
      <w:r w:rsidRPr="003A1B10">
        <w:rPr>
          <w:rFonts w:ascii="Times New Roman" w:hAnsi="Times New Roman"/>
        </w:rPr>
        <w:t xml:space="preserve"> Through </w:t>
      </w:r>
      <w:proofErr w:type="spellStart"/>
      <w:r w:rsidRPr="003A1B10">
        <w:rPr>
          <w:rFonts w:ascii="Times New Roman" w:hAnsi="Times New Roman"/>
        </w:rPr>
        <w:t>Law</w:t>
      </w:r>
      <w:proofErr w:type="spellEnd"/>
      <w:r w:rsidRPr="003A1B10">
        <w:rPr>
          <w:rFonts w:ascii="Times New Roman" w:hAnsi="Times New Roman"/>
        </w:rPr>
        <w:t xml:space="preserve"> (</w:t>
      </w:r>
      <w:proofErr w:type="spellStart"/>
      <w:r w:rsidRPr="003A1B10">
        <w:rPr>
          <w:rFonts w:ascii="Times New Roman" w:hAnsi="Times New Roman"/>
        </w:rPr>
        <w:t>Venice</w:t>
      </w:r>
      <w:proofErr w:type="spellEnd"/>
      <w:r w:rsidRPr="003A1B10">
        <w:rPr>
          <w:rFonts w:ascii="Times New Roman" w:hAnsi="Times New Roman"/>
        </w:rPr>
        <w:t xml:space="preserve"> </w:t>
      </w:r>
      <w:proofErr w:type="spellStart"/>
      <w:r w:rsidRPr="003A1B10">
        <w:rPr>
          <w:rFonts w:ascii="Times New Roman" w:hAnsi="Times New Roman"/>
        </w:rPr>
        <w:t>Commission</w:t>
      </w:r>
      <w:proofErr w:type="spellEnd"/>
      <w:r w:rsidRPr="003A1B10">
        <w:rPr>
          <w:rFonts w:ascii="Times New Roman" w:hAnsi="Times New Roman"/>
        </w:rPr>
        <w:t>), “</w:t>
      </w:r>
      <w:proofErr w:type="spellStart"/>
      <w:r w:rsidRPr="003A1B10">
        <w:rPr>
          <w:rFonts w:ascii="Times New Roman" w:hAnsi="Times New Roman"/>
        </w:rPr>
        <w:t>Turkey</w:t>
      </w:r>
      <w:proofErr w:type="spellEnd"/>
      <w:r w:rsidRPr="003A1B10">
        <w:rPr>
          <w:rFonts w:ascii="Times New Roman" w:hAnsi="Times New Roman"/>
        </w:rPr>
        <w:t xml:space="preserve"> </w:t>
      </w:r>
      <w:proofErr w:type="spellStart"/>
      <w:r w:rsidRPr="003A1B10">
        <w:rPr>
          <w:rFonts w:ascii="Times New Roman" w:hAnsi="Times New Roman"/>
        </w:rPr>
        <w:t>Opinion</w:t>
      </w:r>
      <w:proofErr w:type="spellEnd"/>
      <w:r w:rsidRPr="003A1B10">
        <w:rPr>
          <w:rFonts w:ascii="Times New Roman" w:hAnsi="Times New Roman"/>
        </w:rPr>
        <w:t xml:space="preserve"> On </w:t>
      </w:r>
      <w:proofErr w:type="spellStart"/>
      <w:r w:rsidRPr="003A1B10">
        <w:rPr>
          <w:rFonts w:ascii="Times New Roman" w:hAnsi="Times New Roman"/>
        </w:rPr>
        <w:t>The</w:t>
      </w:r>
      <w:proofErr w:type="spellEnd"/>
      <w:r w:rsidRPr="003A1B10">
        <w:rPr>
          <w:rFonts w:ascii="Times New Roman" w:hAnsi="Times New Roman"/>
        </w:rPr>
        <w:t xml:space="preserve"> Legal Framework </w:t>
      </w:r>
      <w:proofErr w:type="spellStart"/>
      <w:r w:rsidRPr="003A1B10">
        <w:rPr>
          <w:rFonts w:ascii="Times New Roman" w:hAnsi="Times New Roman"/>
        </w:rPr>
        <w:t>Governing</w:t>
      </w:r>
      <w:proofErr w:type="spellEnd"/>
      <w:r w:rsidRPr="003A1B10">
        <w:rPr>
          <w:rFonts w:ascii="Times New Roman" w:hAnsi="Times New Roman"/>
        </w:rPr>
        <w:t xml:space="preserve"> </w:t>
      </w:r>
      <w:proofErr w:type="spellStart"/>
      <w:r w:rsidRPr="003A1B10">
        <w:rPr>
          <w:rFonts w:ascii="Times New Roman" w:hAnsi="Times New Roman"/>
        </w:rPr>
        <w:t>Curfews</w:t>
      </w:r>
      <w:proofErr w:type="spellEnd"/>
      <w:r w:rsidRPr="003A1B10">
        <w:rPr>
          <w:rFonts w:ascii="Times New Roman" w:hAnsi="Times New Roman"/>
        </w:rPr>
        <w:t xml:space="preserve">”, 107th </w:t>
      </w:r>
      <w:proofErr w:type="spellStart"/>
      <w:r w:rsidRPr="003A1B10">
        <w:rPr>
          <w:rFonts w:ascii="Times New Roman" w:hAnsi="Times New Roman"/>
        </w:rPr>
        <w:t>Plenary</w:t>
      </w:r>
      <w:proofErr w:type="spellEnd"/>
      <w:r w:rsidRPr="003A1B10">
        <w:rPr>
          <w:rFonts w:ascii="Times New Roman" w:hAnsi="Times New Roman"/>
        </w:rPr>
        <w:t xml:space="preserve"> </w:t>
      </w:r>
      <w:proofErr w:type="spellStart"/>
      <w:r w:rsidRPr="003A1B10">
        <w:rPr>
          <w:rFonts w:ascii="Times New Roman" w:hAnsi="Times New Roman"/>
        </w:rPr>
        <w:t>Session</w:t>
      </w:r>
      <w:proofErr w:type="spellEnd"/>
      <w:r w:rsidRPr="003A1B10">
        <w:rPr>
          <w:rFonts w:ascii="Times New Roman" w:hAnsi="Times New Roman"/>
        </w:rPr>
        <w:t xml:space="preserve">, </w:t>
      </w:r>
      <w:proofErr w:type="spellStart"/>
      <w:r w:rsidRPr="003A1B10">
        <w:rPr>
          <w:rFonts w:ascii="Times New Roman" w:hAnsi="Times New Roman"/>
        </w:rPr>
        <w:t>Venice</w:t>
      </w:r>
      <w:proofErr w:type="spellEnd"/>
      <w:r w:rsidRPr="003A1B10">
        <w:rPr>
          <w:rFonts w:ascii="Times New Roman" w:hAnsi="Times New Roman"/>
        </w:rPr>
        <w:t xml:space="preserve">, 10-11 </w:t>
      </w:r>
      <w:proofErr w:type="spellStart"/>
      <w:r w:rsidRPr="003A1B10">
        <w:rPr>
          <w:rFonts w:ascii="Times New Roman" w:hAnsi="Times New Roman"/>
        </w:rPr>
        <w:t>June</w:t>
      </w:r>
      <w:proofErr w:type="spellEnd"/>
      <w:r w:rsidRPr="003A1B10">
        <w:rPr>
          <w:rFonts w:ascii="Times New Roman" w:hAnsi="Times New Roman"/>
        </w:rPr>
        <w:t xml:space="preserve"> 2016, https://www. venice.coe.int/</w:t>
      </w:r>
      <w:proofErr w:type="spellStart"/>
      <w:r w:rsidRPr="003A1B10">
        <w:rPr>
          <w:rFonts w:ascii="Times New Roman" w:hAnsi="Times New Roman"/>
        </w:rPr>
        <w:t>webforms</w:t>
      </w:r>
      <w:proofErr w:type="spellEnd"/>
      <w:r w:rsidRPr="003A1B10">
        <w:rPr>
          <w:rFonts w:ascii="Times New Roman" w:hAnsi="Times New Roman"/>
        </w:rPr>
        <w:t>/</w:t>
      </w:r>
      <w:proofErr w:type="spellStart"/>
      <w:r w:rsidRPr="003A1B10">
        <w:rPr>
          <w:rFonts w:ascii="Times New Roman" w:hAnsi="Times New Roman"/>
        </w:rPr>
        <w:t>documents</w:t>
      </w:r>
      <w:proofErr w:type="spellEnd"/>
      <w:r w:rsidRPr="003A1B10">
        <w:rPr>
          <w:rFonts w:ascii="Times New Roman" w:hAnsi="Times New Roman"/>
        </w:rPr>
        <w:t>/</w:t>
      </w:r>
      <w:proofErr w:type="spellStart"/>
      <w:r w:rsidRPr="003A1B10">
        <w:rPr>
          <w:rFonts w:ascii="Times New Roman" w:hAnsi="Times New Roman"/>
        </w:rPr>
        <w:t>default.aspx?pdffile</w:t>
      </w:r>
      <w:proofErr w:type="spellEnd"/>
      <w:r w:rsidRPr="003A1B10">
        <w:rPr>
          <w:rFonts w:ascii="Times New Roman" w:hAnsi="Times New Roman"/>
        </w:rPr>
        <w:t xml:space="preserve">=CDL-AD (2016)010-e, e.t. 14.10.2021, </w:t>
      </w:r>
      <w:proofErr w:type="gramStart"/>
      <w:r w:rsidRPr="003A1B10">
        <w:rPr>
          <w:rFonts w:ascii="Times New Roman" w:hAnsi="Times New Roman"/>
        </w:rPr>
        <w:t>para .</w:t>
      </w:r>
      <w:proofErr w:type="gramEnd"/>
      <w:r w:rsidRPr="003A1B10">
        <w:rPr>
          <w:rFonts w:ascii="Times New Roman" w:hAnsi="Times New Roman"/>
        </w:rPr>
        <w:t>99.</w:t>
      </w:r>
    </w:p>
  </w:footnote>
  <w:footnote w:id="61">
    <w:p w14:paraId="4ED0B465" w14:textId="4F538860"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Fazıl Sağlam, </w:t>
      </w:r>
      <w:r w:rsidRPr="003A1B10">
        <w:rPr>
          <w:rFonts w:ascii="Times New Roman" w:hAnsi="Times New Roman"/>
          <w:i/>
          <w:iCs/>
        </w:rPr>
        <w:t>Temel Hakların Sınırlanması ve Özü</w:t>
      </w:r>
      <w:r w:rsidRPr="003A1B10">
        <w:rPr>
          <w:rFonts w:ascii="Times New Roman" w:hAnsi="Times New Roman"/>
        </w:rPr>
        <w:t>, AÜSBF Yayınları, Ankara, 1982, s. 129.</w:t>
      </w:r>
    </w:p>
  </w:footnote>
  <w:footnote w:id="62">
    <w:p w14:paraId="5DABDC21" w14:textId="5D2E1420"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Sağlam, 1982, s. 130; Ergun Özbudun, Türk Anayasa Hukuku, Yetkin Yayınları, 18. Bası, Ankara, 2018, s. 113; </w:t>
      </w:r>
      <w:r w:rsidRPr="003A1B10">
        <w:rPr>
          <w:rFonts w:ascii="Times New Roman" w:hAnsi="Times New Roman"/>
          <w:lang w:eastAsia="tr-TR"/>
        </w:rPr>
        <w:t xml:space="preserve">Bülent </w:t>
      </w:r>
      <w:proofErr w:type="spellStart"/>
      <w:r w:rsidRPr="003A1B10">
        <w:rPr>
          <w:rFonts w:ascii="Times New Roman" w:hAnsi="Times New Roman"/>
          <w:lang w:eastAsia="tr-TR"/>
        </w:rPr>
        <w:t>Tanör</w:t>
      </w:r>
      <w:proofErr w:type="spellEnd"/>
      <w:r w:rsidRPr="003A1B10">
        <w:rPr>
          <w:rFonts w:ascii="Times New Roman" w:hAnsi="Times New Roman"/>
          <w:lang w:eastAsia="tr-TR"/>
        </w:rPr>
        <w:t xml:space="preserve"> &amp; Necmi Yüzbaşıoğlu, </w:t>
      </w:r>
      <w:r w:rsidRPr="003A1B10">
        <w:rPr>
          <w:rFonts w:ascii="Times New Roman" w:hAnsi="Times New Roman"/>
          <w:i/>
          <w:iCs/>
          <w:lang w:eastAsia="tr-TR"/>
        </w:rPr>
        <w:t>1982 Anayasasına Göre Türk Anayasa Hukuku</w:t>
      </w:r>
      <w:r w:rsidRPr="003A1B10">
        <w:rPr>
          <w:rFonts w:ascii="Times New Roman" w:hAnsi="Times New Roman"/>
          <w:lang w:eastAsia="tr-TR"/>
        </w:rPr>
        <w:t xml:space="preserve">, 10. Bası, İstanbul, Beta, 2011, s. 136-137; Yavuz </w:t>
      </w:r>
      <w:r w:rsidRPr="003A1B10">
        <w:rPr>
          <w:rFonts w:ascii="Times New Roman" w:hAnsi="Times New Roman"/>
        </w:rPr>
        <w:t xml:space="preserve">Sabuncu, </w:t>
      </w:r>
      <w:r w:rsidRPr="003A1B10">
        <w:rPr>
          <w:rFonts w:ascii="Times New Roman" w:hAnsi="Times New Roman"/>
          <w:i/>
          <w:iCs/>
        </w:rPr>
        <w:t>Anayasaya Giriş</w:t>
      </w:r>
      <w:r w:rsidRPr="003A1B10">
        <w:rPr>
          <w:rFonts w:ascii="Times New Roman" w:hAnsi="Times New Roman"/>
        </w:rPr>
        <w:t xml:space="preserve">, İmaj Yayınevi, 11. b., Ankara, 2005, s. 55. </w:t>
      </w:r>
    </w:p>
  </w:footnote>
  <w:footnote w:id="63">
    <w:p w14:paraId="2528CB50" w14:textId="791B719A"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Selin Esen, </w:t>
      </w:r>
      <w:r w:rsidRPr="003A1B10">
        <w:rPr>
          <w:rFonts w:ascii="Times New Roman" w:hAnsi="Times New Roman"/>
          <w:i/>
          <w:iCs/>
        </w:rPr>
        <w:t>Anayasa Hukuku Açısından Dolaşım Özgürlüğü</w:t>
      </w:r>
      <w:r w:rsidRPr="003A1B10">
        <w:rPr>
          <w:rFonts w:ascii="Times New Roman" w:hAnsi="Times New Roman"/>
        </w:rPr>
        <w:t xml:space="preserve">, Yetkin Yayınları, Ankara, 2014, s. 158-160. Aksi yönde görüş ve konuya ilişkin detaylı bir inceleme için bkz. Volkan Aslan, “COVID-19 Salgını Sebebiyle Uygulanan Sokağa Çıkma Kısıtlamalarının 1982 Anayasası’na Uygunluğu, </w:t>
      </w:r>
      <w:r w:rsidRPr="003A1B10">
        <w:rPr>
          <w:rFonts w:ascii="Times New Roman" w:hAnsi="Times New Roman"/>
          <w:i/>
          <w:iCs/>
        </w:rPr>
        <w:t>İstanbul Hukuk Mecmuası</w:t>
      </w:r>
      <w:r w:rsidRPr="003A1B10">
        <w:rPr>
          <w:rFonts w:ascii="Times New Roman" w:hAnsi="Times New Roman"/>
        </w:rPr>
        <w:t xml:space="preserve"> 78/2, 2020, s. 815-819. Karşı görüş için ayrıca bkz. Kemal </w:t>
      </w:r>
      <w:r w:rsidRPr="003A1B10">
        <w:rPr>
          <w:rFonts w:ascii="Times New Roman" w:hAnsi="Times New Roman"/>
          <w:lang w:eastAsia="tr-TR"/>
        </w:rPr>
        <w:t xml:space="preserve">Gözler, “Korona Virüs Salgınıyla Mücadele İçin Alınan Tedbirler Hukuka Uygun Mu?”, </w:t>
      </w:r>
      <w:hyperlink r:id="rId20" w:history="1">
        <w:r w:rsidRPr="003A1B10">
          <w:rPr>
            <w:rStyle w:val="Hyperlink"/>
            <w:rFonts w:ascii="Times New Roman" w:hAnsi="Times New Roman"/>
            <w:color w:val="auto"/>
            <w:u w:val="none"/>
            <w:lang w:eastAsia="tr-TR"/>
          </w:rPr>
          <w:t>www.anayasa.gen.tr/korona.htm</w:t>
        </w:r>
      </w:hyperlink>
      <w:r w:rsidRPr="003A1B10">
        <w:rPr>
          <w:rFonts w:ascii="Times New Roman" w:hAnsi="Times New Roman"/>
          <w:lang w:eastAsia="tr-TR"/>
        </w:rPr>
        <w:t>, e.t. 14.10.2021.</w:t>
      </w:r>
    </w:p>
  </w:footnote>
  <w:footnote w:id="64">
    <w:p w14:paraId="1E651444" w14:textId="45810E9B"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gramStart"/>
      <w:r w:rsidRPr="003A1B10">
        <w:rPr>
          <w:rFonts w:ascii="Times New Roman" w:hAnsi="Times New Roman"/>
        </w:rPr>
        <w:t>ECHR,</w:t>
      </w:r>
      <w:proofErr w:type="gramEnd"/>
      <w:r w:rsidRPr="003A1B10">
        <w:rPr>
          <w:rFonts w:ascii="Times New Roman" w:hAnsi="Times New Roman"/>
        </w:rPr>
        <w:t xml:space="preserve"> </w:t>
      </w:r>
      <w:r w:rsidRPr="003A1B10">
        <w:rPr>
          <w:rFonts w:ascii="Times New Roman" w:hAnsi="Times New Roman"/>
          <w:i/>
          <w:iCs/>
        </w:rPr>
        <w:t xml:space="preserve">De </w:t>
      </w:r>
      <w:proofErr w:type="spellStart"/>
      <w:r w:rsidRPr="003A1B10">
        <w:rPr>
          <w:rFonts w:ascii="Times New Roman" w:hAnsi="Times New Roman"/>
          <w:i/>
          <w:iCs/>
        </w:rPr>
        <w:t>Tommaso</w:t>
      </w:r>
      <w:proofErr w:type="spellEnd"/>
      <w:r w:rsidRPr="003A1B10">
        <w:rPr>
          <w:rFonts w:ascii="Times New Roman" w:hAnsi="Times New Roman"/>
          <w:i/>
          <w:iCs/>
        </w:rPr>
        <w:t xml:space="preserve"> v. </w:t>
      </w:r>
      <w:proofErr w:type="spellStart"/>
      <w:r w:rsidRPr="003A1B10">
        <w:rPr>
          <w:rFonts w:ascii="Times New Roman" w:hAnsi="Times New Roman"/>
          <w:i/>
          <w:iCs/>
        </w:rPr>
        <w:t>Italy</w:t>
      </w:r>
      <w:proofErr w:type="spellEnd"/>
      <w:r w:rsidRPr="003A1B10">
        <w:rPr>
          <w:rFonts w:ascii="Times New Roman" w:hAnsi="Times New Roman"/>
        </w:rPr>
        <w:t xml:space="preserve">, 23.02.2017, No. 43395/09; </w:t>
      </w:r>
      <w:proofErr w:type="spellStart"/>
      <w:r w:rsidRPr="003A1B10">
        <w:rPr>
          <w:rFonts w:ascii="Times New Roman" w:hAnsi="Times New Roman"/>
          <w:i/>
          <w:iCs/>
        </w:rPr>
        <w:t>Trijonis</w:t>
      </w:r>
      <w:proofErr w:type="spellEnd"/>
      <w:r w:rsidRPr="003A1B10">
        <w:rPr>
          <w:rFonts w:ascii="Times New Roman" w:hAnsi="Times New Roman"/>
          <w:i/>
          <w:iCs/>
        </w:rPr>
        <w:t xml:space="preserve"> v. </w:t>
      </w:r>
      <w:proofErr w:type="spellStart"/>
      <w:r w:rsidRPr="003A1B10">
        <w:rPr>
          <w:rFonts w:ascii="Times New Roman" w:hAnsi="Times New Roman"/>
          <w:i/>
          <w:iCs/>
        </w:rPr>
        <w:t>Lithuania</w:t>
      </w:r>
      <w:proofErr w:type="spellEnd"/>
      <w:r w:rsidRPr="003A1B10">
        <w:rPr>
          <w:rFonts w:ascii="Times New Roman" w:hAnsi="Times New Roman"/>
        </w:rPr>
        <w:t>, 15.12.2005, No. 2333/02.</w:t>
      </w:r>
    </w:p>
  </w:footnote>
  <w:footnote w:id="65">
    <w:p w14:paraId="0A0F4246" w14:textId="3A0B5475"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Esen, 2020, s. 216; Gözler, 2021, </w:t>
      </w:r>
      <w:hyperlink r:id="rId21" w:history="1">
        <w:r w:rsidRPr="003A1B10">
          <w:rPr>
            <w:rStyle w:val="Hyperlink"/>
            <w:rFonts w:ascii="Times New Roman" w:hAnsi="Times New Roman"/>
            <w:color w:val="auto"/>
            <w:u w:val="none"/>
            <w:lang w:eastAsia="tr-TR"/>
          </w:rPr>
          <w:t>www.anayasa.gen.tr/korona.htm</w:t>
        </w:r>
      </w:hyperlink>
      <w:r w:rsidRPr="003A1B10">
        <w:rPr>
          <w:rFonts w:ascii="Times New Roman" w:hAnsi="Times New Roman"/>
          <w:lang w:eastAsia="tr-TR"/>
        </w:rPr>
        <w:t>, e.t. 14.10.2021.</w:t>
      </w:r>
    </w:p>
  </w:footnote>
  <w:footnote w:id="66">
    <w:p w14:paraId="2E1ED9D9" w14:textId="4766AE0C"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Bkz. 7242 sayılı Ceza ve Güvenlik Tedbirlerinin İnfazı Hakkında Kanun ile Bazı Kanunlarda Değişiklik Yapılmasına Dair Kanun, 14.4.2020, RG. 15.04.2020, S. 31100.</w:t>
      </w:r>
    </w:p>
  </w:footnote>
  <w:footnote w:id="67">
    <w:p w14:paraId="51FB364F" w14:textId="3BF338BF" w:rsidR="00336E79" w:rsidRPr="003A1B10" w:rsidRDefault="00336E79" w:rsidP="003A1B10">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Esen, 2020, s. 218. AİHM de </w:t>
      </w:r>
      <w:r w:rsidRPr="003A1B10">
        <w:rPr>
          <w:rStyle w:val="jlqj4b"/>
          <w:rFonts w:ascii="Times New Roman" w:hAnsi="Times New Roman"/>
        </w:rPr>
        <w:t xml:space="preserve">alternatif protesto biçimlerinin varlığının, toplanma üzerindeki geçici yasakları haklı çıkarmaya yardımcı olabileceğini, ancak toplanma ve gösteri kısıtlamasının süresi ne kadar uzun olursa, bu tür alternatif protesto biçimlerinin ağırlığının da o kadar azalacağını ifade etmektedir. Mahkeme’ye göre, Sözleşme’nin 11. maddesi, bir mesajı birlikte ifade etmenin önemini kabul eder. Katılımcıların iletmek istedikleri mesajın özü nedeniyle protestolar nadiren yasaklanmalıdır. Dolayısıyla, sınırlamanın süresi ve sınırlamada orantılılık ilkesine uyum şarttır. Bkz. </w:t>
      </w:r>
      <w:r w:rsidRPr="00F047DA">
        <w:rPr>
          <w:rFonts w:ascii="Times New Roman" w:hAnsi="Times New Roman"/>
        </w:rPr>
        <w:t xml:space="preserve">Covid-19 </w:t>
      </w:r>
      <w:proofErr w:type="spellStart"/>
      <w:r w:rsidRPr="00F047DA">
        <w:rPr>
          <w:rFonts w:ascii="Times New Roman" w:hAnsi="Times New Roman"/>
        </w:rPr>
        <w:t>and</w:t>
      </w:r>
      <w:proofErr w:type="spellEnd"/>
      <w:r w:rsidRPr="00F047DA">
        <w:rPr>
          <w:rFonts w:ascii="Times New Roman" w:hAnsi="Times New Roman"/>
        </w:rPr>
        <w:t xml:space="preserve"> </w:t>
      </w:r>
      <w:proofErr w:type="spellStart"/>
      <w:r w:rsidRPr="00F047DA">
        <w:rPr>
          <w:rFonts w:ascii="Times New Roman" w:hAnsi="Times New Roman"/>
        </w:rPr>
        <w:t>the</w:t>
      </w:r>
      <w:proofErr w:type="spellEnd"/>
      <w:r w:rsidRPr="00F047DA">
        <w:rPr>
          <w:rFonts w:ascii="Times New Roman" w:hAnsi="Times New Roman"/>
        </w:rPr>
        <w:t xml:space="preserve"> </w:t>
      </w:r>
      <w:proofErr w:type="spellStart"/>
      <w:r w:rsidRPr="00F047DA">
        <w:rPr>
          <w:rFonts w:ascii="Times New Roman" w:hAnsi="Times New Roman"/>
        </w:rPr>
        <w:t>Impact</w:t>
      </w:r>
      <w:proofErr w:type="spellEnd"/>
      <w:r w:rsidRPr="00F047DA">
        <w:rPr>
          <w:rFonts w:ascii="Times New Roman" w:hAnsi="Times New Roman"/>
        </w:rPr>
        <w:t xml:space="preserve"> on Human </w:t>
      </w:r>
      <w:proofErr w:type="spellStart"/>
      <w:r w:rsidRPr="00F047DA">
        <w:rPr>
          <w:rFonts w:ascii="Times New Roman" w:hAnsi="Times New Roman"/>
        </w:rPr>
        <w:t>Rights</w:t>
      </w:r>
      <w:proofErr w:type="spellEnd"/>
      <w:r w:rsidRPr="00F047DA">
        <w:rPr>
          <w:rFonts w:ascii="Times New Roman" w:hAnsi="Times New Roman"/>
        </w:rPr>
        <w:t xml:space="preserve"> an </w:t>
      </w:r>
      <w:proofErr w:type="spellStart"/>
      <w:r w:rsidRPr="00F047DA">
        <w:rPr>
          <w:rFonts w:ascii="Times New Roman" w:hAnsi="Times New Roman"/>
        </w:rPr>
        <w:t>Overview</w:t>
      </w:r>
      <w:proofErr w:type="spellEnd"/>
      <w:r w:rsidRPr="00F047DA">
        <w:rPr>
          <w:rFonts w:ascii="Times New Roman" w:hAnsi="Times New Roman"/>
        </w:rPr>
        <w:t xml:space="preserve"> of </w:t>
      </w:r>
      <w:proofErr w:type="spellStart"/>
      <w:r w:rsidRPr="00F047DA">
        <w:rPr>
          <w:rFonts w:ascii="Times New Roman" w:hAnsi="Times New Roman"/>
        </w:rPr>
        <w:t>Relevant</w:t>
      </w:r>
      <w:proofErr w:type="spellEnd"/>
      <w:r w:rsidRPr="00F047DA">
        <w:rPr>
          <w:rFonts w:ascii="Times New Roman" w:hAnsi="Times New Roman"/>
        </w:rPr>
        <w:t xml:space="preserve"> </w:t>
      </w:r>
      <w:proofErr w:type="spellStart"/>
      <w:r w:rsidRPr="00F047DA">
        <w:rPr>
          <w:rFonts w:ascii="Times New Roman" w:hAnsi="Times New Roman"/>
        </w:rPr>
        <w:t>Jurisprudence</w:t>
      </w:r>
      <w:proofErr w:type="spellEnd"/>
      <w:r w:rsidRPr="00F047DA">
        <w:rPr>
          <w:rFonts w:ascii="Times New Roman" w:hAnsi="Times New Roman"/>
        </w:rPr>
        <w:t xml:space="preserve"> of </w:t>
      </w:r>
      <w:proofErr w:type="spellStart"/>
      <w:r w:rsidRPr="00F047DA">
        <w:rPr>
          <w:rFonts w:ascii="Times New Roman" w:hAnsi="Times New Roman"/>
        </w:rPr>
        <w:t>the</w:t>
      </w:r>
      <w:proofErr w:type="spellEnd"/>
      <w:r w:rsidRPr="00F047DA">
        <w:rPr>
          <w:rFonts w:ascii="Times New Roman" w:hAnsi="Times New Roman"/>
        </w:rPr>
        <w:t xml:space="preserve"> </w:t>
      </w:r>
      <w:proofErr w:type="spellStart"/>
      <w:r w:rsidRPr="00F047DA">
        <w:rPr>
          <w:rFonts w:ascii="Times New Roman" w:hAnsi="Times New Roman"/>
        </w:rPr>
        <w:t>European</w:t>
      </w:r>
      <w:proofErr w:type="spellEnd"/>
      <w:r w:rsidRPr="00F047DA">
        <w:rPr>
          <w:rFonts w:ascii="Times New Roman" w:hAnsi="Times New Roman"/>
        </w:rPr>
        <w:t xml:space="preserve"> Court of Human </w:t>
      </w:r>
      <w:proofErr w:type="spellStart"/>
      <w:r w:rsidRPr="00F047DA">
        <w:rPr>
          <w:rFonts w:ascii="Times New Roman" w:hAnsi="Times New Roman"/>
        </w:rPr>
        <w:t>Rights</w:t>
      </w:r>
      <w:proofErr w:type="spellEnd"/>
      <w:r w:rsidRPr="00F047DA">
        <w:rPr>
          <w:rFonts w:ascii="Times New Roman" w:hAnsi="Times New Roman"/>
        </w:rPr>
        <w:t>,</w:t>
      </w:r>
      <w:r w:rsidRPr="003A1B10">
        <w:rPr>
          <w:rFonts w:ascii="Times New Roman" w:hAnsi="Times New Roman"/>
        </w:rPr>
        <w:t xml:space="preserve"> </w:t>
      </w:r>
      <w:proofErr w:type="spellStart"/>
      <w:r w:rsidRPr="003A1B10">
        <w:rPr>
          <w:rFonts w:ascii="Times New Roman" w:hAnsi="Times New Roman"/>
        </w:rPr>
        <w:t>The</w:t>
      </w:r>
      <w:proofErr w:type="spellEnd"/>
      <w:r w:rsidRPr="003A1B10">
        <w:rPr>
          <w:rFonts w:ascii="Times New Roman" w:hAnsi="Times New Roman"/>
        </w:rPr>
        <w:t xml:space="preserve"> AIRE </w:t>
      </w:r>
      <w:proofErr w:type="spellStart"/>
      <w:r w:rsidRPr="003A1B10">
        <w:rPr>
          <w:rFonts w:ascii="Times New Roman" w:hAnsi="Times New Roman"/>
        </w:rPr>
        <w:t>Centre</w:t>
      </w:r>
      <w:proofErr w:type="spellEnd"/>
      <w:r w:rsidRPr="003A1B10">
        <w:rPr>
          <w:rFonts w:ascii="Times New Roman" w:hAnsi="Times New Roman"/>
        </w:rPr>
        <w:t xml:space="preserve">, </w:t>
      </w:r>
      <w:r w:rsidRPr="003A1B10">
        <w:rPr>
          <w:rStyle w:val="jlqj4b"/>
          <w:rFonts w:ascii="Times New Roman" w:hAnsi="Times New Roman"/>
        </w:rPr>
        <w:t xml:space="preserve">s. 111-113; ECHR, </w:t>
      </w:r>
      <w:proofErr w:type="spellStart"/>
      <w:r w:rsidRPr="003A1B10">
        <w:rPr>
          <w:rStyle w:val="jlqj4b"/>
          <w:rFonts w:ascii="Times New Roman" w:hAnsi="Times New Roman"/>
          <w:i/>
          <w:iCs/>
        </w:rPr>
        <w:t>Bączkowski</w:t>
      </w:r>
      <w:proofErr w:type="spellEnd"/>
      <w:r w:rsidRPr="003A1B10">
        <w:rPr>
          <w:rStyle w:val="jlqj4b"/>
          <w:rFonts w:ascii="Times New Roman" w:hAnsi="Times New Roman"/>
          <w:i/>
          <w:iCs/>
        </w:rPr>
        <w:t xml:space="preserve"> </w:t>
      </w:r>
      <w:proofErr w:type="spellStart"/>
      <w:r w:rsidRPr="003A1B10">
        <w:rPr>
          <w:rStyle w:val="jlqj4b"/>
          <w:rFonts w:ascii="Times New Roman" w:hAnsi="Times New Roman"/>
          <w:i/>
          <w:iCs/>
        </w:rPr>
        <w:t>and</w:t>
      </w:r>
      <w:proofErr w:type="spellEnd"/>
      <w:r w:rsidRPr="003A1B10">
        <w:rPr>
          <w:rStyle w:val="jlqj4b"/>
          <w:rFonts w:ascii="Times New Roman" w:hAnsi="Times New Roman"/>
          <w:i/>
          <w:iCs/>
        </w:rPr>
        <w:t xml:space="preserve"> </w:t>
      </w:r>
      <w:proofErr w:type="spellStart"/>
      <w:r w:rsidRPr="003A1B10">
        <w:rPr>
          <w:rStyle w:val="jlqj4b"/>
          <w:rFonts w:ascii="Times New Roman" w:hAnsi="Times New Roman"/>
          <w:i/>
          <w:iCs/>
        </w:rPr>
        <w:t>Others</w:t>
      </w:r>
      <w:proofErr w:type="spellEnd"/>
      <w:r w:rsidRPr="003A1B10">
        <w:rPr>
          <w:rStyle w:val="jlqj4b"/>
          <w:rFonts w:ascii="Times New Roman" w:hAnsi="Times New Roman"/>
          <w:i/>
          <w:iCs/>
        </w:rPr>
        <w:t xml:space="preserve"> v. Poland</w:t>
      </w:r>
      <w:r w:rsidRPr="003A1B10">
        <w:rPr>
          <w:rStyle w:val="jlqj4b"/>
          <w:rFonts w:ascii="Times New Roman" w:hAnsi="Times New Roman"/>
        </w:rPr>
        <w:t>, 03.05.2007, No. 1543/06, para. 64.</w:t>
      </w:r>
    </w:p>
  </w:footnote>
  <w:footnote w:id="68">
    <w:p w14:paraId="65EF60D1" w14:textId="77777777" w:rsidR="00F047DA" w:rsidRPr="003A1B10" w:rsidRDefault="00F047DA" w:rsidP="00F047DA">
      <w:pPr>
        <w:pStyle w:val="FootnoteText"/>
        <w:ind w:left="0" w:right="0"/>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ABD’de yargı organı, hükümet önlemlerini izlemede aktif bir tutum izlemiş ve bazı durumlarda anayasal hakların korunmasını sağlamak için devreye girmiştir. Bkz. </w:t>
      </w:r>
      <w:proofErr w:type="spellStart"/>
      <w:r w:rsidRPr="003A1B10">
        <w:rPr>
          <w:rFonts w:ascii="Times New Roman" w:hAnsi="Times New Roman"/>
        </w:rPr>
        <w:t>Ginsburg</w:t>
      </w:r>
      <w:proofErr w:type="spellEnd"/>
      <w:r w:rsidRPr="003A1B10">
        <w:rPr>
          <w:rFonts w:ascii="Times New Roman" w:hAnsi="Times New Roman"/>
        </w:rPr>
        <w:t>, s. 73.</w:t>
      </w:r>
    </w:p>
  </w:footnote>
  <w:footnote w:id="69">
    <w:p w14:paraId="4D65BC4C" w14:textId="15A1E076" w:rsidR="00336E79" w:rsidRPr="003A1B10" w:rsidRDefault="00336E79" w:rsidP="003A1B10">
      <w:pPr>
        <w:pStyle w:val="FootnoteText"/>
        <w:ind w:left="0" w:right="0"/>
        <w:contextualSpacing/>
        <w:jc w:val="both"/>
        <w:rPr>
          <w:rFonts w:ascii="Times New Roman" w:hAnsi="Times New Roman"/>
        </w:rPr>
      </w:pPr>
      <w:r w:rsidRPr="003A1B10">
        <w:rPr>
          <w:rStyle w:val="FootnoteReference"/>
          <w:rFonts w:ascii="Times New Roman" w:hAnsi="Times New Roman"/>
        </w:rPr>
        <w:footnoteRef/>
      </w:r>
      <w:r w:rsidRPr="003A1B10">
        <w:rPr>
          <w:rFonts w:ascii="Times New Roman" w:hAnsi="Times New Roman"/>
        </w:rPr>
        <w:t xml:space="preserve"> </w:t>
      </w:r>
      <w:proofErr w:type="spellStart"/>
      <w:r w:rsidRPr="003A1B10">
        <w:rPr>
          <w:rFonts w:ascii="Times New Roman" w:hAnsi="Times New Roman"/>
        </w:rPr>
        <w:t>Michel</w:t>
      </w:r>
      <w:proofErr w:type="spellEnd"/>
      <w:r w:rsidRPr="003A1B10">
        <w:rPr>
          <w:rFonts w:ascii="Times New Roman" w:hAnsi="Times New Roman"/>
        </w:rPr>
        <w:t xml:space="preserve"> </w:t>
      </w:r>
      <w:proofErr w:type="spellStart"/>
      <w:r w:rsidRPr="003A1B10">
        <w:rPr>
          <w:rFonts w:ascii="Times New Roman" w:hAnsi="Times New Roman"/>
        </w:rPr>
        <w:t>Rosenfeld</w:t>
      </w:r>
      <w:proofErr w:type="spellEnd"/>
      <w:r w:rsidRPr="003A1B10">
        <w:rPr>
          <w:rFonts w:ascii="Times New Roman" w:hAnsi="Times New Roman"/>
        </w:rPr>
        <w:t>, “</w:t>
      </w:r>
      <w:proofErr w:type="spellStart"/>
      <w:r w:rsidRPr="003A1B10">
        <w:rPr>
          <w:rFonts w:ascii="Times New Roman" w:hAnsi="Times New Roman"/>
        </w:rPr>
        <w:t>The</w:t>
      </w:r>
      <w:proofErr w:type="spellEnd"/>
      <w:r w:rsidRPr="003A1B10">
        <w:rPr>
          <w:rFonts w:ascii="Times New Roman" w:hAnsi="Times New Roman"/>
        </w:rPr>
        <w:t xml:space="preserve"> </w:t>
      </w:r>
      <w:proofErr w:type="spellStart"/>
      <w:r w:rsidRPr="003A1B10">
        <w:rPr>
          <w:rFonts w:ascii="Times New Roman" w:hAnsi="Times New Roman"/>
        </w:rPr>
        <w:t>Rule</w:t>
      </w:r>
      <w:proofErr w:type="spellEnd"/>
      <w:r w:rsidRPr="003A1B10">
        <w:rPr>
          <w:rFonts w:ascii="Times New Roman" w:hAnsi="Times New Roman"/>
        </w:rPr>
        <w:t xml:space="preserve"> of </w:t>
      </w:r>
      <w:proofErr w:type="spellStart"/>
      <w:r w:rsidRPr="003A1B10">
        <w:rPr>
          <w:rFonts w:ascii="Times New Roman" w:hAnsi="Times New Roman"/>
        </w:rPr>
        <w:t>Law</w:t>
      </w:r>
      <w:proofErr w:type="spellEnd"/>
      <w:r w:rsidRPr="003A1B10">
        <w:rPr>
          <w:rFonts w:ascii="Times New Roman" w:hAnsi="Times New Roman"/>
        </w:rPr>
        <w:t xml:space="preserve"> </w:t>
      </w:r>
      <w:proofErr w:type="spellStart"/>
      <w:r w:rsidRPr="003A1B10">
        <w:rPr>
          <w:rFonts w:ascii="Times New Roman" w:hAnsi="Times New Roman"/>
        </w:rPr>
        <w:t>and</w:t>
      </w:r>
      <w:proofErr w:type="spellEnd"/>
      <w:r w:rsidRPr="003A1B10">
        <w:rPr>
          <w:rFonts w:ascii="Times New Roman" w:hAnsi="Times New Roman"/>
        </w:rPr>
        <w:t xml:space="preserve"> </w:t>
      </w:r>
      <w:proofErr w:type="spellStart"/>
      <w:r w:rsidRPr="003A1B10">
        <w:rPr>
          <w:rFonts w:ascii="Times New Roman" w:hAnsi="Times New Roman"/>
        </w:rPr>
        <w:t>the</w:t>
      </w:r>
      <w:proofErr w:type="spellEnd"/>
      <w:r w:rsidRPr="003A1B10">
        <w:rPr>
          <w:rFonts w:ascii="Times New Roman" w:hAnsi="Times New Roman"/>
        </w:rPr>
        <w:t xml:space="preserve"> </w:t>
      </w:r>
      <w:proofErr w:type="spellStart"/>
      <w:r w:rsidRPr="003A1B10">
        <w:rPr>
          <w:rFonts w:ascii="Times New Roman" w:hAnsi="Times New Roman"/>
        </w:rPr>
        <w:t>Legitimacy</w:t>
      </w:r>
      <w:proofErr w:type="spellEnd"/>
      <w:r w:rsidRPr="003A1B10">
        <w:rPr>
          <w:rFonts w:ascii="Times New Roman" w:hAnsi="Times New Roman"/>
        </w:rPr>
        <w:t xml:space="preserve"> of </w:t>
      </w:r>
      <w:proofErr w:type="spellStart"/>
      <w:r w:rsidRPr="003A1B10">
        <w:rPr>
          <w:rFonts w:ascii="Times New Roman" w:hAnsi="Times New Roman"/>
        </w:rPr>
        <w:t>Constitutional</w:t>
      </w:r>
      <w:proofErr w:type="spellEnd"/>
      <w:r w:rsidRPr="003A1B10">
        <w:rPr>
          <w:rFonts w:ascii="Times New Roman" w:hAnsi="Times New Roman"/>
        </w:rPr>
        <w:t xml:space="preserve"> </w:t>
      </w:r>
      <w:proofErr w:type="spellStart"/>
      <w:r w:rsidRPr="003A1B10">
        <w:rPr>
          <w:rFonts w:ascii="Times New Roman" w:hAnsi="Times New Roman"/>
        </w:rPr>
        <w:t>Democracy</w:t>
      </w:r>
      <w:proofErr w:type="spellEnd"/>
      <w:r w:rsidRPr="003A1B10">
        <w:rPr>
          <w:rFonts w:ascii="Times New Roman" w:hAnsi="Times New Roman"/>
        </w:rPr>
        <w:t xml:space="preserve">”, </w:t>
      </w:r>
      <w:proofErr w:type="spellStart"/>
      <w:r w:rsidRPr="003A1B10">
        <w:rPr>
          <w:rFonts w:ascii="Times New Roman" w:hAnsi="Times New Roman"/>
          <w:i/>
          <w:iCs/>
        </w:rPr>
        <w:t>Cardozo</w:t>
      </w:r>
      <w:proofErr w:type="spellEnd"/>
      <w:r w:rsidRPr="003A1B10">
        <w:rPr>
          <w:rFonts w:ascii="Times New Roman" w:hAnsi="Times New Roman"/>
          <w:i/>
          <w:iCs/>
        </w:rPr>
        <w:t xml:space="preserve"> </w:t>
      </w:r>
      <w:proofErr w:type="spellStart"/>
      <w:r w:rsidRPr="003A1B10">
        <w:rPr>
          <w:rFonts w:ascii="Times New Roman" w:hAnsi="Times New Roman"/>
          <w:i/>
          <w:iCs/>
        </w:rPr>
        <w:t>Law</w:t>
      </w:r>
      <w:proofErr w:type="spellEnd"/>
      <w:r w:rsidRPr="003A1B10">
        <w:rPr>
          <w:rFonts w:ascii="Times New Roman" w:hAnsi="Times New Roman"/>
          <w:i/>
          <w:iCs/>
        </w:rPr>
        <w:t xml:space="preserve"> School </w:t>
      </w:r>
      <w:proofErr w:type="spellStart"/>
      <w:r w:rsidRPr="003A1B10">
        <w:rPr>
          <w:rFonts w:ascii="Times New Roman" w:hAnsi="Times New Roman"/>
          <w:i/>
          <w:iCs/>
        </w:rPr>
        <w:t>Jacob</w:t>
      </w:r>
      <w:proofErr w:type="spellEnd"/>
      <w:r w:rsidRPr="003A1B10">
        <w:rPr>
          <w:rFonts w:ascii="Times New Roman" w:hAnsi="Times New Roman"/>
          <w:i/>
          <w:iCs/>
        </w:rPr>
        <w:t xml:space="preserve"> </w:t>
      </w:r>
      <w:proofErr w:type="spellStart"/>
      <w:r w:rsidRPr="003A1B10">
        <w:rPr>
          <w:rFonts w:ascii="Times New Roman" w:hAnsi="Times New Roman"/>
          <w:i/>
          <w:iCs/>
        </w:rPr>
        <w:t>Burns</w:t>
      </w:r>
      <w:proofErr w:type="spellEnd"/>
      <w:r w:rsidRPr="003A1B10">
        <w:rPr>
          <w:rFonts w:ascii="Times New Roman" w:hAnsi="Times New Roman"/>
          <w:i/>
          <w:iCs/>
        </w:rPr>
        <w:t xml:space="preserve"> </w:t>
      </w:r>
      <w:proofErr w:type="spellStart"/>
      <w:r w:rsidRPr="003A1B10">
        <w:rPr>
          <w:rFonts w:ascii="Times New Roman" w:hAnsi="Times New Roman"/>
          <w:i/>
          <w:iCs/>
        </w:rPr>
        <w:t>Institute</w:t>
      </w:r>
      <w:proofErr w:type="spellEnd"/>
      <w:r w:rsidRPr="003A1B10">
        <w:rPr>
          <w:rFonts w:ascii="Times New Roman" w:hAnsi="Times New Roman"/>
          <w:i/>
          <w:iCs/>
        </w:rPr>
        <w:t xml:space="preserve"> </w:t>
      </w:r>
      <w:proofErr w:type="spellStart"/>
      <w:r w:rsidRPr="003A1B10">
        <w:rPr>
          <w:rFonts w:ascii="Times New Roman" w:hAnsi="Times New Roman"/>
          <w:i/>
          <w:iCs/>
        </w:rPr>
        <w:t>for</w:t>
      </w:r>
      <w:proofErr w:type="spellEnd"/>
      <w:r w:rsidRPr="003A1B10">
        <w:rPr>
          <w:rFonts w:ascii="Times New Roman" w:hAnsi="Times New Roman"/>
          <w:i/>
          <w:iCs/>
        </w:rPr>
        <w:t xml:space="preserve"> Advanced Legal </w:t>
      </w:r>
      <w:proofErr w:type="spellStart"/>
      <w:r w:rsidRPr="003A1B10">
        <w:rPr>
          <w:rFonts w:ascii="Times New Roman" w:hAnsi="Times New Roman"/>
          <w:i/>
          <w:iCs/>
        </w:rPr>
        <w:t>Studies</w:t>
      </w:r>
      <w:proofErr w:type="spellEnd"/>
      <w:r w:rsidRPr="003A1B10">
        <w:rPr>
          <w:rFonts w:ascii="Times New Roman" w:hAnsi="Times New Roman"/>
        </w:rPr>
        <w:t xml:space="preserve">, </w:t>
      </w:r>
      <w:proofErr w:type="spellStart"/>
      <w:r w:rsidRPr="003A1B10">
        <w:rPr>
          <w:rFonts w:ascii="Times New Roman" w:hAnsi="Times New Roman"/>
        </w:rPr>
        <w:t>Working</w:t>
      </w:r>
      <w:proofErr w:type="spellEnd"/>
      <w:r w:rsidRPr="003A1B10">
        <w:rPr>
          <w:rFonts w:ascii="Times New Roman" w:hAnsi="Times New Roman"/>
        </w:rPr>
        <w:t xml:space="preserve"> </w:t>
      </w:r>
      <w:proofErr w:type="spellStart"/>
      <w:r w:rsidRPr="003A1B10">
        <w:rPr>
          <w:rFonts w:ascii="Times New Roman" w:hAnsi="Times New Roman"/>
        </w:rPr>
        <w:t>Paper</w:t>
      </w:r>
      <w:proofErr w:type="spellEnd"/>
      <w:r w:rsidRPr="003A1B10">
        <w:rPr>
          <w:rFonts w:ascii="Times New Roman" w:hAnsi="Times New Roman"/>
        </w:rPr>
        <w:t xml:space="preserve"> Series No. 36, 2001, 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06ACD"/>
    <w:multiLevelType w:val="hybridMultilevel"/>
    <w:tmpl w:val="EC08ACA4"/>
    <w:lvl w:ilvl="0" w:tplc="87845F8A">
      <w:start w:val="1"/>
      <w:numFmt w:val="bullet"/>
      <w:lvlText w:val="•"/>
      <w:lvlJc w:val="left"/>
      <w:pPr>
        <w:tabs>
          <w:tab w:val="num" w:pos="720"/>
        </w:tabs>
        <w:ind w:left="720" w:hanging="360"/>
      </w:pPr>
      <w:rPr>
        <w:rFonts w:ascii="Times New Roman" w:hAnsi="Times New Roman" w:hint="default"/>
      </w:rPr>
    </w:lvl>
    <w:lvl w:ilvl="1" w:tplc="C3A87E74" w:tentative="1">
      <w:start w:val="1"/>
      <w:numFmt w:val="bullet"/>
      <w:lvlText w:val="•"/>
      <w:lvlJc w:val="left"/>
      <w:pPr>
        <w:tabs>
          <w:tab w:val="num" w:pos="1440"/>
        </w:tabs>
        <w:ind w:left="1440" w:hanging="360"/>
      </w:pPr>
      <w:rPr>
        <w:rFonts w:ascii="Times New Roman" w:hAnsi="Times New Roman" w:hint="default"/>
      </w:rPr>
    </w:lvl>
    <w:lvl w:ilvl="2" w:tplc="9BB62D1C" w:tentative="1">
      <w:start w:val="1"/>
      <w:numFmt w:val="bullet"/>
      <w:lvlText w:val="•"/>
      <w:lvlJc w:val="left"/>
      <w:pPr>
        <w:tabs>
          <w:tab w:val="num" w:pos="2160"/>
        </w:tabs>
        <w:ind w:left="2160" w:hanging="360"/>
      </w:pPr>
      <w:rPr>
        <w:rFonts w:ascii="Times New Roman" w:hAnsi="Times New Roman" w:hint="default"/>
      </w:rPr>
    </w:lvl>
    <w:lvl w:ilvl="3" w:tplc="D6B8D644" w:tentative="1">
      <w:start w:val="1"/>
      <w:numFmt w:val="bullet"/>
      <w:lvlText w:val="•"/>
      <w:lvlJc w:val="left"/>
      <w:pPr>
        <w:tabs>
          <w:tab w:val="num" w:pos="2880"/>
        </w:tabs>
        <w:ind w:left="2880" w:hanging="360"/>
      </w:pPr>
      <w:rPr>
        <w:rFonts w:ascii="Times New Roman" w:hAnsi="Times New Roman" w:hint="default"/>
      </w:rPr>
    </w:lvl>
    <w:lvl w:ilvl="4" w:tplc="A8DA3502" w:tentative="1">
      <w:start w:val="1"/>
      <w:numFmt w:val="bullet"/>
      <w:lvlText w:val="•"/>
      <w:lvlJc w:val="left"/>
      <w:pPr>
        <w:tabs>
          <w:tab w:val="num" w:pos="3600"/>
        </w:tabs>
        <w:ind w:left="3600" w:hanging="360"/>
      </w:pPr>
      <w:rPr>
        <w:rFonts w:ascii="Times New Roman" w:hAnsi="Times New Roman" w:hint="default"/>
      </w:rPr>
    </w:lvl>
    <w:lvl w:ilvl="5" w:tplc="F4B217FA" w:tentative="1">
      <w:start w:val="1"/>
      <w:numFmt w:val="bullet"/>
      <w:lvlText w:val="•"/>
      <w:lvlJc w:val="left"/>
      <w:pPr>
        <w:tabs>
          <w:tab w:val="num" w:pos="4320"/>
        </w:tabs>
        <w:ind w:left="4320" w:hanging="360"/>
      </w:pPr>
      <w:rPr>
        <w:rFonts w:ascii="Times New Roman" w:hAnsi="Times New Roman" w:hint="default"/>
      </w:rPr>
    </w:lvl>
    <w:lvl w:ilvl="6" w:tplc="4AB44DC8" w:tentative="1">
      <w:start w:val="1"/>
      <w:numFmt w:val="bullet"/>
      <w:lvlText w:val="•"/>
      <w:lvlJc w:val="left"/>
      <w:pPr>
        <w:tabs>
          <w:tab w:val="num" w:pos="5040"/>
        </w:tabs>
        <w:ind w:left="5040" w:hanging="360"/>
      </w:pPr>
      <w:rPr>
        <w:rFonts w:ascii="Times New Roman" w:hAnsi="Times New Roman" w:hint="default"/>
      </w:rPr>
    </w:lvl>
    <w:lvl w:ilvl="7" w:tplc="5D5AB75A" w:tentative="1">
      <w:start w:val="1"/>
      <w:numFmt w:val="bullet"/>
      <w:lvlText w:val="•"/>
      <w:lvlJc w:val="left"/>
      <w:pPr>
        <w:tabs>
          <w:tab w:val="num" w:pos="5760"/>
        </w:tabs>
        <w:ind w:left="5760" w:hanging="360"/>
      </w:pPr>
      <w:rPr>
        <w:rFonts w:ascii="Times New Roman" w:hAnsi="Times New Roman" w:hint="default"/>
      </w:rPr>
    </w:lvl>
    <w:lvl w:ilvl="8" w:tplc="764E2B9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4C"/>
    <w:rsid w:val="00004049"/>
    <w:rsid w:val="000961F5"/>
    <w:rsid w:val="000A2B75"/>
    <w:rsid w:val="000F7893"/>
    <w:rsid w:val="00103448"/>
    <w:rsid w:val="0011629E"/>
    <w:rsid w:val="001605CF"/>
    <w:rsid w:val="001705AB"/>
    <w:rsid w:val="00184B7D"/>
    <w:rsid w:val="001A5CE2"/>
    <w:rsid w:val="001E7A65"/>
    <w:rsid w:val="00235F43"/>
    <w:rsid w:val="00244A04"/>
    <w:rsid w:val="00252B13"/>
    <w:rsid w:val="002604DE"/>
    <w:rsid w:val="00263AE7"/>
    <w:rsid w:val="00281A99"/>
    <w:rsid w:val="002D32CB"/>
    <w:rsid w:val="002F0FE7"/>
    <w:rsid w:val="00307485"/>
    <w:rsid w:val="00315AC9"/>
    <w:rsid w:val="00335DC4"/>
    <w:rsid w:val="00336E79"/>
    <w:rsid w:val="00342566"/>
    <w:rsid w:val="0036043E"/>
    <w:rsid w:val="00360A4F"/>
    <w:rsid w:val="00381C53"/>
    <w:rsid w:val="00383316"/>
    <w:rsid w:val="003A1B10"/>
    <w:rsid w:val="003A7171"/>
    <w:rsid w:val="003B1099"/>
    <w:rsid w:val="004346F8"/>
    <w:rsid w:val="0044614C"/>
    <w:rsid w:val="00452651"/>
    <w:rsid w:val="00493945"/>
    <w:rsid w:val="004A3B0E"/>
    <w:rsid w:val="004C28F8"/>
    <w:rsid w:val="004D289D"/>
    <w:rsid w:val="004F1801"/>
    <w:rsid w:val="00502249"/>
    <w:rsid w:val="00503EB4"/>
    <w:rsid w:val="00506154"/>
    <w:rsid w:val="00533BA0"/>
    <w:rsid w:val="0054666C"/>
    <w:rsid w:val="005812B1"/>
    <w:rsid w:val="005A6AC7"/>
    <w:rsid w:val="005C04A0"/>
    <w:rsid w:val="005C0717"/>
    <w:rsid w:val="005C4F2E"/>
    <w:rsid w:val="005D0D65"/>
    <w:rsid w:val="005E3902"/>
    <w:rsid w:val="00611956"/>
    <w:rsid w:val="00620C19"/>
    <w:rsid w:val="00623E00"/>
    <w:rsid w:val="006245F8"/>
    <w:rsid w:val="006251E6"/>
    <w:rsid w:val="006333EB"/>
    <w:rsid w:val="00640A24"/>
    <w:rsid w:val="00675717"/>
    <w:rsid w:val="00684671"/>
    <w:rsid w:val="006D49C4"/>
    <w:rsid w:val="006E53FC"/>
    <w:rsid w:val="00703D93"/>
    <w:rsid w:val="007A1B71"/>
    <w:rsid w:val="007A24F6"/>
    <w:rsid w:val="007A253E"/>
    <w:rsid w:val="007A508C"/>
    <w:rsid w:val="007B03E0"/>
    <w:rsid w:val="007B1006"/>
    <w:rsid w:val="007B1AC8"/>
    <w:rsid w:val="007B7A5E"/>
    <w:rsid w:val="007D6567"/>
    <w:rsid w:val="007E1EF9"/>
    <w:rsid w:val="00832D7F"/>
    <w:rsid w:val="00885DF8"/>
    <w:rsid w:val="00896254"/>
    <w:rsid w:val="008A09E8"/>
    <w:rsid w:val="008B5E15"/>
    <w:rsid w:val="008E6868"/>
    <w:rsid w:val="008E7EA5"/>
    <w:rsid w:val="00921265"/>
    <w:rsid w:val="00954559"/>
    <w:rsid w:val="00967312"/>
    <w:rsid w:val="00971CE1"/>
    <w:rsid w:val="00983DA8"/>
    <w:rsid w:val="00985B6C"/>
    <w:rsid w:val="00990B0D"/>
    <w:rsid w:val="00997FA0"/>
    <w:rsid w:val="009A002C"/>
    <w:rsid w:val="009A0890"/>
    <w:rsid w:val="009A32B4"/>
    <w:rsid w:val="009C1DFB"/>
    <w:rsid w:val="009C7288"/>
    <w:rsid w:val="009E465F"/>
    <w:rsid w:val="00A00D05"/>
    <w:rsid w:val="00A0382F"/>
    <w:rsid w:val="00A13391"/>
    <w:rsid w:val="00A30604"/>
    <w:rsid w:val="00A443F4"/>
    <w:rsid w:val="00A471BA"/>
    <w:rsid w:val="00A628FC"/>
    <w:rsid w:val="00A64711"/>
    <w:rsid w:val="00A82404"/>
    <w:rsid w:val="00A90FCA"/>
    <w:rsid w:val="00AD4B8C"/>
    <w:rsid w:val="00AE201F"/>
    <w:rsid w:val="00AF6E6E"/>
    <w:rsid w:val="00B04F43"/>
    <w:rsid w:val="00B068B4"/>
    <w:rsid w:val="00B31457"/>
    <w:rsid w:val="00B338D7"/>
    <w:rsid w:val="00B35602"/>
    <w:rsid w:val="00B40E2E"/>
    <w:rsid w:val="00B57C05"/>
    <w:rsid w:val="00B73B6A"/>
    <w:rsid w:val="00BA58C4"/>
    <w:rsid w:val="00BD55AD"/>
    <w:rsid w:val="00BE7CAA"/>
    <w:rsid w:val="00C021F3"/>
    <w:rsid w:val="00C64BE0"/>
    <w:rsid w:val="00C71A2F"/>
    <w:rsid w:val="00C76A39"/>
    <w:rsid w:val="00C76E05"/>
    <w:rsid w:val="00C82105"/>
    <w:rsid w:val="00CA03B2"/>
    <w:rsid w:val="00CF100B"/>
    <w:rsid w:val="00D12224"/>
    <w:rsid w:val="00D226E3"/>
    <w:rsid w:val="00D27C73"/>
    <w:rsid w:val="00D64D9A"/>
    <w:rsid w:val="00D93276"/>
    <w:rsid w:val="00D944EC"/>
    <w:rsid w:val="00DB6CDF"/>
    <w:rsid w:val="00DC3593"/>
    <w:rsid w:val="00DC69C5"/>
    <w:rsid w:val="00DD67D5"/>
    <w:rsid w:val="00DF2C76"/>
    <w:rsid w:val="00DF2E88"/>
    <w:rsid w:val="00DF6658"/>
    <w:rsid w:val="00DF759F"/>
    <w:rsid w:val="00E05DFD"/>
    <w:rsid w:val="00E95F25"/>
    <w:rsid w:val="00E97759"/>
    <w:rsid w:val="00ED61A0"/>
    <w:rsid w:val="00EF6724"/>
    <w:rsid w:val="00F047DA"/>
    <w:rsid w:val="00F12C50"/>
    <w:rsid w:val="00F16B5A"/>
    <w:rsid w:val="00F21108"/>
    <w:rsid w:val="00F26405"/>
    <w:rsid w:val="00F3529D"/>
    <w:rsid w:val="00F37D86"/>
    <w:rsid w:val="00F45F4C"/>
    <w:rsid w:val="00F516D8"/>
    <w:rsid w:val="00F726C7"/>
    <w:rsid w:val="00F96F49"/>
    <w:rsid w:val="00FA14B4"/>
    <w:rsid w:val="00FA29A7"/>
    <w:rsid w:val="00FB3B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1AC4"/>
  <w15:chartTrackingRefBased/>
  <w15:docId w15:val="{50AA4386-ADF3-424E-9AE9-F69B2FAD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82404"/>
    <w:pPr>
      <w:keepNext/>
      <w:keepLines/>
      <w:widowControl w:val="0"/>
      <w:adjustRightInd w:val="0"/>
      <w:spacing w:before="480" w:after="0" w:line="360" w:lineRule="atLeast"/>
      <w:jc w:val="both"/>
      <w:textAlignment w:val="baseline"/>
      <w:outlineLvl w:val="0"/>
    </w:pPr>
    <w:rPr>
      <w:rFonts w:ascii="Times New Roman" w:eastAsiaTheme="majorEastAsia" w:hAnsi="Times New Roman" w:cstheme="majorBidi"/>
      <w:bCs/>
      <w:noProof/>
      <w:sz w:val="24"/>
      <w:szCs w:val="28"/>
      <w:lang w:eastAsia="tr-TR"/>
    </w:rPr>
  </w:style>
  <w:style w:type="paragraph" w:styleId="Heading2">
    <w:name w:val="heading 2"/>
    <w:basedOn w:val="Normal"/>
    <w:next w:val="Normal"/>
    <w:link w:val="Heading2Char"/>
    <w:uiPriority w:val="9"/>
    <w:unhideWhenUsed/>
    <w:qFormat/>
    <w:rsid w:val="00A82404"/>
    <w:pPr>
      <w:keepNext/>
      <w:keepLines/>
      <w:widowControl w:val="0"/>
      <w:adjustRightInd w:val="0"/>
      <w:spacing w:before="40" w:after="0" w:line="360" w:lineRule="atLeast"/>
      <w:jc w:val="both"/>
      <w:textAlignment w:val="baseline"/>
      <w:outlineLvl w:val="1"/>
    </w:pPr>
    <w:rPr>
      <w:rFonts w:ascii="Times New Roman" w:eastAsiaTheme="majorEastAsia" w:hAnsi="Times New Roman" w:cstheme="majorBidi"/>
      <w:b/>
      <w:noProof/>
      <w:sz w:val="24"/>
      <w:szCs w:val="26"/>
      <w:lang w:eastAsia="tr-TR"/>
    </w:rPr>
  </w:style>
  <w:style w:type="paragraph" w:styleId="Heading3">
    <w:name w:val="heading 3"/>
    <w:basedOn w:val="Normal"/>
    <w:next w:val="Normal"/>
    <w:link w:val="Heading3Char"/>
    <w:autoRedefine/>
    <w:uiPriority w:val="9"/>
    <w:unhideWhenUsed/>
    <w:qFormat/>
    <w:rsid w:val="00A82404"/>
    <w:pPr>
      <w:keepNext/>
      <w:keepLines/>
      <w:widowControl w:val="0"/>
      <w:adjustRightInd w:val="0"/>
      <w:spacing w:before="40" w:after="0" w:line="360" w:lineRule="atLeast"/>
      <w:jc w:val="both"/>
      <w:textAlignment w:val="baseline"/>
      <w:outlineLvl w:val="2"/>
    </w:pPr>
    <w:rPr>
      <w:rFonts w:ascii="Times New Roman" w:eastAsiaTheme="majorEastAsia" w:hAnsi="Times New Roman" w:cstheme="majorBidi"/>
      <w:b/>
      <w:noProof/>
      <w:sz w:val="24"/>
      <w:szCs w:val="24"/>
      <w:lang w:eastAsia="tr-TR"/>
    </w:rPr>
  </w:style>
  <w:style w:type="paragraph" w:styleId="Heading4">
    <w:name w:val="heading 4"/>
    <w:basedOn w:val="Normal"/>
    <w:next w:val="Normal"/>
    <w:link w:val="Heading4Char"/>
    <w:autoRedefine/>
    <w:uiPriority w:val="9"/>
    <w:unhideWhenUsed/>
    <w:qFormat/>
    <w:rsid w:val="004A3B0E"/>
    <w:pPr>
      <w:keepNext/>
      <w:keepLines/>
      <w:spacing w:before="40" w:after="0" w:line="276" w:lineRule="auto"/>
      <w:outlineLvl w:val="3"/>
    </w:pPr>
    <w:rPr>
      <w:rFonts w:ascii="Times New Roman" w:eastAsiaTheme="majorEastAsia" w:hAnsi="Times New Roman" w:cstheme="majorBidi"/>
      <w:b/>
      <w:iCs/>
      <w:sz w:val="24"/>
    </w:rPr>
  </w:style>
  <w:style w:type="paragraph" w:styleId="Heading5">
    <w:name w:val="heading 5"/>
    <w:basedOn w:val="Normal"/>
    <w:next w:val="Normal"/>
    <w:link w:val="Heading5Char"/>
    <w:autoRedefine/>
    <w:uiPriority w:val="9"/>
    <w:unhideWhenUsed/>
    <w:qFormat/>
    <w:rsid w:val="004A3B0E"/>
    <w:pPr>
      <w:keepNext/>
      <w:keepLines/>
      <w:widowControl w:val="0"/>
      <w:adjustRightInd w:val="0"/>
      <w:spacing w:before="40" w:after="0" w:line="360" w:lineRule="atLeast"/>
      <w:jc w:val="both"/>
      <w:textAlignment w:val="baseline"/>
      <w:outlineLvl w:val="4"/>
    </w:pPr>
    <w:rPr>
      <w:rFonts w:ascii="Times New Roman" w:eastAsiaTheme="majorEastAsia" w:hAnsi="Times New Roman" w:cstheme="majorBidi"/>
      <w:b/>
      <w:noProof/>
      <w:sz w:val="24"/>
      <w:szCs w:val="20"/>
      <w:lang w:eastAsia="tr-TR"/>
    </w:rPr>
  </w:style>
  <w:style w:type="paragraph" w:styleId="Heading6">
    <w:name w:val="heading 6"/>
    <w:basedOn w:val="Normal"/>
    <w:next w:val="Normal"/>
    <w:link w:val="Heading6Char"/>
    <w:autoRedefine/>
    <w:uiPriority w:val="9"/>
    <w:unhideWhenUsed/>
    <w:qFormat/>
    <w:rsid w:val="004A3B0E"/>
    <w:pPr>
      <w:keepNext/>
      <w:keepLines/>
      <w:widowControl w:val="0"/>
      <w:adjustRightInd w:val="0"/>
      <w:spacing w:before="40" w:after="0" w:line="360" w:lineRule="atLeast"/>
      <w:jc w:val="both"/>
      <w:textAlignment w:val="baseline"/>
      <w:outlineLvl w:val="5"/>
    </w:pPr>
    <w:rPr>
      <w:rFonts w:ascii="Times New Roman" w:eastAsiaTheme="majorEastAsia" w:hAnsi="Times New Roman" w:cstheme="majorBidi"/>
      <w:b/>
      <w:noProof/>
      <w:sz w:val="24"/>
      <w:szCs w:val="20"/>
      <w:lang w:eastAsia="tr-TR"/>
    </w:rPr>
  </w:style>
  <w:style w:type="paragraph" w:styleId="Heading7">
    <w:name w:val="heading 7"/>
    <w:basedOn w:val="Normal"/>
    <w:next w:val="Normal"/>
    <w:link w:val="Heading7Char"/>
    <w:uiPriority w:val="9"/>
    <w:unhideWhenUsed/>
    <w:qFormat/>
    <w:rsid w:val="00307485"/>
    <w:pPr>
      <w:keepNext/>
      <w:keepLines/>
      <w:widowControl w:val="0"/>
      <w:adjustRightInd w:val="0"/>
      <w:spacing w:before="40" w:after="0" w:line="360" w:lineRule="atLeast"/>
      <w:jc w:val="both"/>
      <w:textAlignment w:val="baseline"/>
      <w:outlineLvl w:val="6"/>
    </w:pPr>
    <w:rPr>
      <w:rFonts w:ascii="Times New Roman" w:eastAsiaTheme="majorEastAsia" w:hAnsi="Times New Roman" w:cstheme="majorBidi"/>
      <w:iCs/>
      <w:noProof/>
      <w:sz w:val="24"/>
      <w:szCs w:val="20"/>
      <w:lang w:eastAsia="tr-TR"/>
    </w:rPr>
  </w:style>
  <w:style w:type="paragraph" w:styleId="Heading8">
    <w:name w:val="heading 8"/>
    <w:basedOn w:val="Normal"/>
    <w:next w:val="Normal"/>
    <w:link w:val="Heading8Char"/>
    <w:uiPriority w:val="9"/>
    <w:unhideWhenUsed/>
    <w:qFormat/>
    <w:rsid w:val="00307485"/>
    <w:pPr>
      <w:keepNext/>
      <w:keepLines/>
      <w:widowControl w:val="0"/>
      <w:adjustRightInd w:val="0"/>
      <w:spacing w:before="40" w:after="0" w:line="360" w:lineRule="atLeast"/>
      <w:jc w:val="both"/>
      <w:textAlignment w:val="baseline"/>
      <w:outlineLvl w:val="7"/>
    </w:pPr>
    <w:rPr>
      <w:rFonts w:ascii="Times New Roman" w:eastAsiaTheme="majorEastAsia" w:hAnsi="Times New Roman" w:cstheme="majorBidi"/>
      <w:noProof/>
      <w:sz w:val="24"/>
      <w:szCs w:val="21"/>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404"/>
    <w:rPr>
      <w:rFonts w:ascii="Times New Roman" w:eastAsiaTheme="majorEastAsia" w:hAnsi="Times New Roman" w:cstheme="majorBidi"/>
      <w:bCs/>
      <w:noProof/>
      <w:sz w:val="24"/>
      <w:szCs w:val="28"/>
      <w:lang w:eastAsia="tr-TR"/>
    </w:rPr>
  </w:style>
  <w:style w:type="character" w:customStyle="1" w:styleId="Heading2Char">
    <w:name w:val="Heading 2 Char"/>
    <w:basedOn w:val="DefaultParagraphFont"/>
    <w:link w:val="Heading2"/>
    <w:uiPriority w:val="9"/>
    <w:rsid w:val="00A82404"/>
    <w:rPr>
      <w:rFonts w:ascii="Times New Roman" w:eastAsiaTheme="majorEastAsia" w:hAnsi="Times New Roman" w:cstheme="majorBidi"/>
      <w:b/>
      <w:noProof/>
      <w:sz w:val="24"/>
      <w:szCs w:val="26"/>
      <w:lang w:eastAsia="tr-TR"/>
    </w:rPr>
  </w:style>
  <w:style w:type="character" w:customStyle="1" w:styleId="Heading3Char">
    <w:name w:val="Heading 3 Char"/>
    <w:basedOn w:val="DefaultParagraphFont"/>
    <w:link w:val="Heading3"/>
    <w:uiPriority w:val="9"/>
    <w:rsid w:val="00A82404"/>
    <w:rPr>
      <w:rFonts w:ascii="Times New Roman" w:eastAsiaTheme="majorEastAsia" w:hAnsi="Times New Roman" w:cstheme="majorBidi"/>
      <w:b/>
      <w:noProof/>
      <w:sz w:val="24"/>
      <w:szCs w:val="24"/>
      <w:lang w:eastAsia="tr-TR"/>
    </w:rPr>
  </w:style>
  <w:style w:type="character" w:customStyle="1" w:styleId="Heading4Char">
    <w:name w:val="Heading 4 Char"/>
    <w:basedOn w:val="DefaultParagraphFont"/>
    <w:link w:val="Heading4"/>
    <w:uiPriority w:val="9"/>
    <w:rsid w:val="004A3B0E"/>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4A3B0E"/>
    <w:rPr>
      <w:rFonts w:ascii="Times New Roman" w:eastAsiaTheme="majorEastAsia" w:hAnsi="Times New Roman" w:cstheme="majorBidi"/>
      <w:b/>
      <w:noProof/>
      <w:sz w:val="24"/>
      <w:szCs w:val="20"/>
      <w:lang w:eastAsia="tr-TR"/>
    </w:rPr>
  </w:style>
  <w:style w:type="character" w:customStyle="1" w:styleId="Heading6Char">
    <w:name w:val="Heading 6 Char"/>
    <w:basedOn w:val="DefaultParagraphFont"/>
    <w:link w:val="Heading6"/>
    <w:uiPriority w:val="9"/>
    <w:rsid w:val="004A3B0E"/>
    <w:rPr>
      <w:rFonts w:ascii="Times New Roman" w:eastAsiaTheme="majorEastAsia" w:hAnsi="Times New Roman" w:cstheme="majorBidi"/>
      <w:b/>
      <w:noProof/>
      <w:sz w:val="24"/>
      <w:szCs w:val="20"/>
      <w:lang w:eastAsia="tr-TR"/>
    </w:rPr>
  </w:style>
  <w:style w:type="character" w:customStyle="1" w:styleId="Heading7Char">
    <w:name w:val="Heading 7 Char"/>
    <w:basedOn w:val="DefaultParagraphFont"/>
    <w:link w:val="Heading7"/>
    <w:uiPriority w:val="9"/>
    <w:rsid w:val="00307485"/>
    <w:rPr>
      <w:rFonts w:ascii="Times New Roman" w:eastAsiaTheme="majorEastAsia" w:hAnsi="Times New Roman" w:cstheme="majorBidi"/>
      <w:iCs/>
      <w:noProof/>
      <w:sz w:val="24"/>
      <w:szCs w:val="20"/>
      <w:lang w:eastAsia="tr-TR"/>
    </w:rPr>
  </w:style>
  <w:style w:type="character" w:customStyle="1" w:styleId="Heading8Char">
    <w:name w:val="Heading 8 Char"/>
    <w:basedOn w:val="DefaultParagraphFont"/>
    <w:link w:val="Heading8"/>
    <w:uiPriority w:val="9"/>
    <w:rsid w:val="00307485"/>
    <w:rPr>
      <w:rFonts w:ascii="Times New Roman" w:eastAsiaTheme="majorEastAsia" w:hAnsi="Times New Roman" w:cstheme="majorBidi"/>
      <w:noProof/>
      <w:sz w:val="24"/>
      <w:szCs w:val="21"/>
      <w:lang w:eastAsia="tr-TR"/>
    </w:rPr>
  </w:style>
  <w:style w:type="paragraph" w:styleId="FootnoteText">
    <w:name w:val="footnote text"/>
    <w:basedOn w:val="Normal"/>
    <w:link w:val="FootnoteTextChar"/>
    <w:uiPriority w:val="99"/>
    <w:unhideWhenUsed/>
    <w:rsid w:val="0044614C"/>
    <w:pPr>
      <w:spacing w:after="0" w:line="240" w:lineRule="auto"/>
      <w:ind w:left="2268" w:right="1418"/>
      <w:jc w:val="center"/>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4614C"/>
    <w:rPr>
      <w:rFonts w:ascii="Calibri" w:eastAsia="Calibri" w:hAnsi="Calibri" w:cs="Times New Roman"/>
      <w:sz w:val="20"/>
      <w:szCs w:val="20"/>
    </w:rPr>
  </w:style>
  <w:style w:type="character" w:styleId="FootnoteReference">
    <w:name w:val="footnote reference"/>
    <w:uiPriority w:val="99"/>
    <w:semiHidden/>
    <w:unhideWhenUsed/>
    <w:rsid w:val="0044614C"/>
    <w:rPr>
      <w:vertAlign w:val="superscript"/>
    </w:rPr>
  </w:style>
  <w:style w:type="character" w:styleId="Hyperlink">
    <w:name w:val="Hyperlink"/>
    <w:basedOn w:val="DefaultParagraphFont"/>
    <w:uiPriority w:val="99"/>
    <w:unhideWhenUsed/>
    <w:rsid w:val="00AF6E6E"/>
    <w:rPr>
      <w:color w:val="0563C1" w:themeColor="hyperlink"/>
      <w:u w:val="single"/>
    </w:rPr>
  </w:style>
  <w:style w:type="character" w:styleId="UnresolvedMention">
    <w:name w:val="Unresolved Mention"/>
    <w:basedOn w:val="DefaultParagraphFont"/>
    <w:uiPriority w:val="99"/>
    <w:semiHidden/>
    <w:unhideWhenUsed/>
    <w:rsid w:val="00AF6E6E"/>
    <w:rPr>
      <w:color w:val="605E5C"/>
      <w:shd w:val="clear" w:color="auto" w:fill="E1DFDD"/>
    </w:rPr>
  </w:style>
  <w:style w:type="paragraph" w:styleId="Header">
    <w:name w:val="header"/>
    <w:basedOn w:val="Normal"/>
    <w:link w:val="HeaderChar"/>
    <w:uiPriority w:val="99"/>
    <w:unhideWhenUsed/>
    <w:rsid w:val="00983D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3DA8"/>
  </w:style>
  <w:style w:type="paragraph" w:styleId="Footer">
    <w:name w:val="footer"/>
    <w:basedOn w:val="Normal"/>
    <w:link w:val="FooterChar"/>
    <w:uiPriority w:val="99"/>
    <w:unhideWhenUsed/>
    <w:rsid w:val="00983D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3DA8"/>
  </w:style>
  <w:style w:type="paragraph" w:customStyle="1" w:styleId="Pa6">
    <w:name w:val="Pa6"/>
    <w:basedOn w:val="Normal"/>
    <w:next w:val="Normal"/>
    <w:uiPriority w:val="99"/>
    <w:rsid w:val="00B40E2E"/>
    <w:pPr>
      <w:autoSpaceDE w:val="0"/>
      <w:autoSpaceDN w:val="0"/>
      <w:adjustRightInd w:val="0"/>
      <w:spacing w:after="0" w:line="251" w:lineRule="atLeast"/>
    </w:pPr>
    <w:rPr>
      <w:rFonts w:ascii="Arno Pro" w:hAnsi="Arno Pro"/>
      <w:sz w:val="24"/>
      <w:szCs w:val="24"/>
    </w:rPr>
  </w:style>
  <w:style w:type="paragraph" w:styleId="ListParagraph">
    <w:name w:val="List Paragraph"/>
    <w:basedOn w:val="Normal"/>
    <w:uiPriority w:val="34"/>
    <w:qFormat/>
    <w:rsid w:val="00BE7CAA"/>
    <w:pPr>
      <w:spacing w:after="0" w:line="240" w:lineRule="auto"/>
      <w:ind w:left="720"/>
      <w:contextualSpacing/>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244A04"/>
    <w:rPr>
      <w:i/>
      <w:iCs/>
    </w:rPr>
  </w:style>
  <w:style w:type="paragraph" w:customStyle="1" w:styleId="Default">
    <w:name w:val="Default"/>
    <w:rsid w:val="00493945"/>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efaultParagraphFont"/>
    <w:rsid w:val="000F7893"/>
  </w:style>
  <w:style w:type="character" w:customStyle="1" w:styleId="jlqj4b">
    <w:name w:val="jlqj4b"/>
    <w:basedOn w:val="DefaultParagraphFont"/>
    <w:rsid w:val="00DF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6442">
      <w:bodyDiv w:val="1"/>
      <w:marLeft w:val="0"/>
      <w:marRight w:val="0"/>
      <w:marTop w:val="0"/>
      <w:marBottom w:val="0"/>
      <w:divBdr>
        <w:top w:val="none" w:sz="0" w:space="0" w:color="auto"/>
        <w:left w:val="none" w:sz="0" w:space="0" w:color="auto"/>
        <w:bottom w:val="none" w:sz="0" w:space="0" w:color="auto"/>
        <w:right w:val="none" w:sz="0" w:space="0" w:color="auto"/>
      </w:divBdr>
    </w:div>
    <w:div w:id="32774013">
      <w:bodyDiv w:val="1"/>
      <w:marLeft w:val="0"/>
      <w:marRight w:val="0"/>
      <w:marTop w:val="0"/>
      <w:marBottom w:val="0"/>
      <w:divBdr>
        <w:top w:val="none" w:sz="0" w:space="0" w:color="auto"/>
        <w:left w:val="none" w:sz="0" w:space="0" w:color="auto"/>
        <w:bottom w:val="none" w:sz="0" w:space="0" w:color="auto"/>
        <w:right w:val="none" w:sz="0" w:space="0" w:color="auto"/>
      </w:divBdr>
    </w:div>
    <w:div w:id="43725172">
      <w:bodyDiv w:val="1"/>
      <w:marLeft w:val="0"/>
      <w:marRight w:val="0"/>
      <w:marTop w:val="0"/>
      <w:marBottom w:val="0"/>
      <w:divBdr>
        <w:top w:val="none" w:sz="0" w:space="0" w:color="auto"/>
        <w:left w:val="none" w:sz="0" w:space="0" w:color="auto"/>
        <w:bottom w:val="none" w:sz="0" w:space="0" w:color="auto"/>
        <w:right w:val="none" w:sz="0" w:space="0" w:color="auto"/>
      </w:divBdr>
    </w:div>
    <w:div w:id="137915774">
      <w:bodyDiv w:val="1"/>
      <w:marLeft w:val="0"/>
      <w:marRight w:val="0"/>
      <w:marTop w:val="0"/>
      <w:marBottom w:val="0"/>
      <w:divBdr>
        <w:top w:val="none" w:sz="0" w:space="0" w:color="auto"/>
        <w:left w:val="none" w:sz="0" w:space="0" w:color="auto"/>
        <w:bottom w:val="none" w:sz="0" w:space="0" w:color="auto"/>
        <w:right w:val="none" w:sz="0" w:space="0" w:color="auto"/>
      </w:divBdr>
    </w:div>
    <w:div w:id="235552159">
      <w:bodyDiv w:val="1"/>
      <w:marLeft w:val="0"/>
      <w:marRight w:val="0"/>
      <w:marTop w:val="0"/>
      <w:marBottom w:val="0"/>
      <w:divBdr>
        <w:top w:val="none" w:sz="0" w:space="0" w:color="auto"/>
        <w:left w:val="none" w:sz="0" w:space="0" w:color="auto"/>
        <w:bottom w:val="none" w:sz="0" w:space="0" w:color="auto"/>
        <w:right w:val="none" w:sz="0" w:space="0" w:color="auto"/>
      </w:divBdr>
    </w:div>
    <w:div w:id="431241955">
      <w:bodyDiv w:val="1"/>
      <w:marLeft w:val="0"/>
      <w:marRight w:val="0"/>
      <w:marTop w:val="0"/>
      <w:marBottom w:val="0"/>
      <w:divBdr>
        <w:top w:val="none" w:sz="0" w:space="0" w:color="auto"/>
        <w:left w:val="none" w:sz="0" w:space="0" w:color="auto"/>
        <w:bottom w:val="none" w:sz="0" w:space="0" w:color="auto"/>
        <w:right w:val="none" w:sz="0" w:space="0" w:color="auto"/>
      </w:divBdr>
      <w:divsChild>
        <w:div w:id="1349091147">
          <w:marLeft w:val="547"/>
          <w:marRight w:val="0"/>
          <w:marTop w:val="0"/>
          <w:marBottom w:val="0"/>
          <w:divBdr>
            <w:top w:val="none" w:sz="0" w:space="0" w:color="auto"/>
            <w:left w:val="none" w:sz="0" w:space="0" w:color="auto"/>
            <w:bottom w:val="none" w:sz="0" w:space="0" w:color="auto"/>
            <w:right w:val="none" w:sz="0" w:space="0" w:color="auto"/>
          </w:divBdr>
        </w:div>
      </w:divsChild>
    </w:div>
    <w:div w:id="539896585">
      <w:bodyDiv w:val="1"/>
      <w:marLeft w:val="0"/>
      <w:marRight w:val="0"/>
      <w:marTop w:val="0"/>
      <w:marBottom w:val="0"/>
      <w:divBdr>
        <w:top w:val="none" w:sz="0" w:space="0" w:color="auto"/>
        <w:left w:val="none" w:sz="0" w:space="0" w:color="auto"/>
        <w:bottom w:val="none" w:sz="0" w:space="0" w:color="auto"/>
        <w:right w:val="none" w:sz="0" w:space="0" w:color="auto"/>
      </w:divBdr>
      <w:divsChild>
        <w:div w:id="113133587">
          <w:marLeft w:val="547"/>
          <w:marRight w:val="0"/>
          <w:marTop w:val="0"/>
          <w:marBottom w:val="0"/>
          <w:divBdr>
            <w:top w:val="none" w:sz="0" w:space="0" w:color="auto"/>
            <w:left w:val="none" w:sz="0" w:space="0" w:color="auto"/>
            <w:bottom w:val="none" w:sz="0" w:space="0" w:color="auto"/>
            <w:right w:val="none" w:sz="0" w:space="0" w:color="auto"/>
          </w:divBdr>
        </w:div>
      </w:divsChild>
    </w:div>
    <w:div w:id="608859457">
      <w:bodyDiv w:val="1"/>
      <w:marLeft w:val="0"/>
      <w:marRight w:val="0"/>
      <w:marTop w:val="0"/>
      <w:marBottom w:val="0"/>
      <w:divBdr>
        <w:top w:val="none" w:sz="0" w:space="0" w:color="auto"/>
        <w:left w:val="none" w:sz="0" w:space="0" w:color="auto"/>
        <w:bottom w:val="none" w:sz="0" w:space="0" w:color="auto"/>
        <w:right w:val="none" w:sz="0" w:space="0" w:color="auto"/>
      </w:divBdr>
    </w:div>
    <w:div w:id="653726169">
      <w:bodyDiv w:val="1"/>
      <w:marLeft w:val="0"/>
      <w:marRight w:val="0"/>
      <w:marTop w:val="0"/>
      <w:marBottom w:val="0"/>
      <w:divBdr>
        <w:top w:val="none" w:sz="0" w:space="0" w:color="auto"/>
        <w:left w:val="none" w:sz="0" w:space="0" w:color="auto"/>
        <w:bottom w:val="none" w:sz="0" w:space="0" w:color="auto"/>
        <w:right w:val="none" w:sz="0" w:space="0" w:color="auto"/>
      </w:divBdr>
      <w:divsChild>
        <w:div w:id="20978547">
          <w:marLeft w:val="0"/>
          <w:marRight w:val="0"/>
          <w:marTop w:val="0"/>
          <w:marBottom w:val="0"/>
          <w:divBdr>
            <w:top w:val="none" w:sz="0" w:space="0" w:color="auto"/>
            <w:left w:val="none" w:sz="0" w:space="0" w:color="auto"/>
            <w:bottom w:val="none" w:sz="0" w:space="0" w:color="auto"/>
            <w:right w:val="none" w:sz="0" w:space="0" w:color="auto"/>
          </w:divBdr>
          <w:divsChild>
            <w:div w:id="1349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1264">
      <w:bodyDiv w:val="1"/>
      <w:marLeft w:val="0"/>
      <w:marRight w:val="0"/>
      <w:marTop w:val="0"/>
      <w:marBottom w:val="0"/>
      <w:divBdr>
        <w:top w:val="none" w:sz="0" w:space="0" w:color="auto"/>
        <w:left w:val="none" w:sz="0" w:space="0" w:color="auto"/>
        <w:bottom w:val="none" w:sz="0" w:space="0" w:color="auto"/>
        <w:right w:val="none" w:sz="0" w:space="0" w:color="auto"/>
      </w:divBdr>
      <w:divsChild>
        <w:div w:id="194268240">
          <w:marLeft w:val="547"/>
          <w:marRight w:val="0"/>
          <w:marTop w:val="0"/>
          <w:marBottom w:val="0"/>
          <w:divBdr>
            <w:top w:val="none" w:sz="0" w:space="0" w:color="auto"/>
            <w:left w:val="none" w:sz="0" w:space="0" w:color="auto"/>
            <w:bottom w:val="none" w:sz="0" w:space="0" w:color="auto"/>
            <w:right w:val="none" w:sz="0" w:space="0" w:color="auto"/>
          </w:divBdr>
        </w:div>
      </w:divsChild>
    </w:div>
    <w:div w:id="659578197">
      <w:bodyDiv w:val="1"/>
      <w:marLeft w:val="0"/>
      <w:marRight w:val="0"/>
      <w:marTop w:val="0"/>
      <w:marBottom w:val="0"/>
      <w:divBdr>
        <w:top w:val="none" w:sz="0" w:space="0" w:color="auto"/>
        <w:left w:val="none" w:sz="0" w:space="0" w:color="auto"/>
        <w:bottom w:val="none" w:sz="0" w:space="0" w:color="auto"/>
        <w:right w:val="none" w:sz="0" w:space="0" w:color="auto"/>
      </w:divBdr>
    </w:div>
    <w:div w:id="673729990">
      <w:bodyDiv w:val="1"/>
      <w:marLeft w:val="0"/>
      <w:marRight w:val="0"/>
      <w:marTop w:val="0"/>
      <w:marBottom w:val="0"/>
      <w:divBdr>
        <w:top w:val="none" w:sz="0" w:space="0" w:color="auto"/>
        <w:left w:val="none" w:sz="0" w:space="0" w:color="auto"/>
        <w:bottom w:val="none" w:sz="0" w:space="0" w:color="auto"/>
        <w:right w:val="none" w:sz="0" w:space="0" w:color="auto"/>
      </w:divBdr>
      <w:divsChild>
        <w:div w:id="1921593842">
          <w:marLeft w:val="547"/>
          <w:marRight w:val="0"/>
          <w:marTop w:val="0"/>
          <w:marBottom w:val="0"/>
          <w:divBdr>
            <w:top w:val="none" w:sz="0" w:space="0" w:color="auto"/>
            <w:left w:val="none" w:sz="0" w:space="0" w:color="auto"/>
            <w:bottom w:val="none" w:sz="0" w:space="0" w:color="auto"/>
            <w:right w:val="none" w:sz="0" w:space="0" w:color="auto"/>
          </w:divBdr>
        </w:div>
        <w:div w:id="866141727">
          <w:marLeft w:val="547"/>
          <w:marRight w:val="0"/>
          <w:marTop w:val="0"/>
          <w:marBottom w:val="0"/>
          <w:divBdr>
            <w:top w:val="none" w:sz="0" w:space="0" w:color="auto"/>
            <w:left w:val="none" w:sz="0" w:space="0" w:color="auto"/>
            <w:bottom w:val="none" w:sz="0" w:space="0" w:color="auto"/>
            <w:right w:val="none" w:sz="0" w:space="0" w:color="auto"/>
          </w:divBdr>
        </w:div>
      </w:divsChild>
    </w:div>
    <w:div w:id="694356149">
      <w:bodyDiv w:val="1"/>
      <w:marLeft w:val="0"/>
      <w:marRight w:val="0"/>
      <w:marTop w:val="0"/>
      <w:marBottom w:val="0"/>
      <w:divBdr>
        <w:top w:val="none" w:sz="0" w:space="0" w:color="auto"/>
        <w:left w:val="none" w:sz="0" w:space="0" w:color="auto"/>
        <w:bottom w:val="none" w:sz="0" w:space="0" w:color="auto"/>
        <w:right w:val="none" w:sz="0" w:space="0" w:color="auto"/>
      </w:divBdr>
    </w:div>
    <w:div w:id="881134460">
      <w:bodyDiv w:val="1"/>
      <w:marLeft w:val="0"/>
      <w:marRight w:val="0"/>
      <w:marTop w:val="0"/>
      <w:marBottom w:val="0"/>
      <w:divBdr>
        <w:top w:val="none" w:sz="0" w:space="0" w:color="auto"/>
        <w:left w:val="none" w:sz="0" w:space="0" w:color="auto"/>
        <w:bottom w:val="none" w:sz="0" w:space="0" w:color="auto"/>
        <w:right w:val="none" w:sz="0" w:space="0" w:color="auto"/>
      </w:divBdr>
    </w:div>
    <w:div w:id="923995615">
      <w:bodyDiv w:val="1"/>
      <w:marLeft w:val="0"/>
      <w:marRight w:val="0"/>
      <w:marTop w:val="0"/>
      <w:marBottom w:val="0"/>
      <w:divBdr>
        <w:top w:val="none" w:sz="0" w:space="0" w:color="auto"/>
        <w:left w:val="none" w:sz="0" w:space="0" w:color="auto"/>
        <w:bottom w:val="none" w:sz="0" w:space="0" w:color="auto"/>
        <w:right w:val="none" w:sz="0" w:space="0" w:color="auto"/>
      </w:divBdr>
      <w:divsChild>
        <w:div w:id="1057044805">
          <w:marLeft w:val="547"/>
          <w:marRight w:val="0"/>
          <w:marTop w:val="0"/>
          <w:marBottom w:val="0"/>
          <w:divBdr>
            <w:top w:val="none" w:sz="0" w:space="0" w:color="auto"/>
            <w:left w:val="none" w:sz="0" w:space="0" w:color="auto"/>
            <w:bottom w:val="none" w:sz="0" w:space="0" w:color="auto"/>
            <w:right w:val="none" w:sz="0" w:space="0" w:color="auto"/>
          </w:divBdr>
        </w:div>
      </w:divsChild>
    </w:div>
    <w:div w:id="1067726357">
      <w:bodyDiv w:val="1"/>
      <w:marLeft w:val="0"/>
      <w:marRight w:val="0"/>
      <w:marTop w:val="0"/>
      <w:marBottom w:val="0"/>
      <w:divBdr>
        <w:top w:val="none" w:sz="0" w:space="0" w:color="auto"/>
        <w:left w:val="none" w:sz="0" w:space="0" w:color="auto"/>
        <w:bottom w:val="none" w:sz="0" w:space="0" w:color="auto"/>
        <w:right w:val="none" w:sz="0" w:space="0" w:color="auto"/>
      </w:divBdr>
    </w:div>
    <w:div w:id="1218391264">
      <w:bodyDiv w:val="1"/>
      <w:marLeft w:val="0"/>
      <w:marRight w:val="0"/>
      <w:marTop w:val="0"/>
      <w:marBottom w:val="0"/>
      <w:divBdr>
        <w:top w:val="none" w:sz="0" w:space="0" w:color="auto"/>
        <w:left w:val="none" w:sz="0" w:space="0" w:color="auto"/>
        <w:bottom w:val="none" w:sz="0" w:space="0" w:color="auto"/>
        <w:right w:val="none" w:sz="0" w:space="0" w:color="auto"/>
      </w:divBdr>
      <w:divsChild>
        <w:div w:id="1254389620">
          <w:marLeft w:val="0"/>
          <w:marRight w:val="0"/>
          <w:marTop w:val="0"/>
          <w:marBottom w:val="0"/>
          <w:divBdr>
            <w:top w:val="none" w:sz="0" w:space="0" w:color="auto"/>
            <w:left w:val="none" w:sz="0" w:space="0" w:color="auto"/>
            <w:bottom w:val="none" w:sz="0" w:space="0" w:color="auto"/>
            <w:right w:val="none" w:sz="0" w:space="0" w:color="auto"/>
          </w:divBdr>
        </w:div>
        <w:div w:id="1513909120">
          <w:marLeft w:val="0"/>
          <w:marRight w:val="0"/>
          <w:marTop w:val="0"/>
          <w:marBottom w:val="0"/>
          <w:divBdr>
            <w:top w:val="none" w:sz="0" w:space="0" w:color="auto"/>
            <w:left w:val="none" w:sz="0" w:space="0" w:color="auto"/>
            <w:bottom w:val="none" w:sz="0" w:space="0" w:color="auto"/>
            <w:right w:val="none" w:sz="0" w:space="0" w:color="auto"/>
          </w:divBdr>
          <w:divsChild>
            <w:div w:id="468745657">
              <w:marLeft w:val="0"/>
              <w:marRight w:val="0"/>
              <w:marTop w:val="0"/>
              <w:marBottom w:val="0"/>
              <w:divBdr>
                <w:top w:val="none" w:sz="0" w:space="0" w:color="auto"/>
                <w:left w:val="none" w:sz="0" w:space="0" w:color="auto"/>
                <w:bottom w:val="none" w:sz="0" w:space="0" w:color="auto"/>
                <w:right w:val="none" w:sz="0" w:space="0" w:color="auto"/>
              </w:divBdr>
              <w:divsChild>
                <w:div w:id="14406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68760">
      <w:bodyDiv w:val="1"/>
      <w:marLeft w:val="0"/>
      <w:marRight w:val="0"/>
      <w:marTop w:val="0"/>
      <w:marBottom w:val="0"/>
      <w:divBdr>
        <w:top w:val="none" w:sz="0" w:space="0" w:color="auto"/>
        <w:left w:val="none" w:sz="0" w:space="0" w:color="auto"/>
        <w:bottom w:val="none" w:sz="0" w:space="0" w:color="auto"/>
        <w:right w:val="none" w:sz="0" w:space="0" w:color="auto"/>
      </w:divBdr>
    </w:div>
    <w:div w:id="1236012559">
      <w:bodyDiv w:val="1"/>
      <w:marLeft w:val="0"/>
      <w:marRight w:val="0"/>
      <w:marTop w:val="0"/>
      <w:marBottom w:val="0"/>
      <w:divBdr>
        <w:top w:val="none" w:sz="0" w:space="0" w:color="auto"/>
        <w:left w:val="none" w:sz="0" w:space="0" w:color="auto"/>
        <w:bottom w:val="none" w:sz="0" w:space="0" w:color="auto"/>
        <w:right w:val="none" w:sz="0" w:space="0" w:color="auto"/>
      </w:divBdr>
      <w:divsChild>
        <w:div w:id="1650745664">
          <w:marLeft w:val="547"/>
          <w:marRight w:val="0"/>
          <w:marTop w:val="0"/>
          <w:marBottom w:val="0"/>
          <w:divBdr>
            <w:top w:val="none" w:sz="0" w:space="0" w:color="auto"/>
            <w:left w:val="none" w:sz="0" w:space="0" w:color="auto"/>
            <w:bottom w:val="none" w:sz="0" w:space="0" w:color="auto"/>
            <w:right w:val="none" w:sz="0" w:space="0" w:color="auto"/>
          </w:divBdr>
        </w:div>
        <w:div w:id="735204783">
          <w:marLeft w:val="547"/>
          <w:marRight w:val="0"/>
          <w:marTop w:val="0"/>
          <w:marBottom w:val="0"/>
          <w:divBdr>
            <w:top w:val="none" w:sz="0" w:space="0" w:color="auto"/>
            <w:left w:val="none" w:sz="0" w:space="0" w:color="auto"/>
            <w:bottom w:val="none" w:sz="0" w:space="0" w:color="auto"/>
            <w:right w:val="none" w:sz="0" w:space="0" w:color="auto"/>
          </w:divBdr>
        </w:div>
      </w:divsChild>
    </w:div>
    <w:div w:id="1241983403">
      <w:bodyDiv w:val="1"/>
      <w:marLeft w:val="0"/>
      <w:marRight w:val="0"/>
      <w:marTop w:val="0"/>
      <w:marBottom w:val="0"/>
      <w:divBdr>
        <w:top w:val="none" w:sz="0" w:space="0" w:color="auto"/>
        <w:left w:val="none" w:sz="0" w:space="0" w:color="auto"/>
        <w:bottom w:val="none" w:sz="0" w:space="0" w:color="auto"/>
        <w:right w:val="none" w:sz="0" w:space="0" w:color="auto"/>
      </w:divBdr>
      <w:divsChild>
        <w:div w:id="640572941">
          <w:marLeft w:val="547"/>
          <w:marRight w:val="0"/>
          <w:marTop w:val="0"/>
          <w:marBottom w:val="0"/>
          <w:divBdr>
            <w:top w:val="none" w:sz="0" w:space="0" w:color="auto"/>
            <w:left w:val="none" w:sz="0" w:space="0" w:color="auto"/>
            <w:bottom w:val="none" w:sz="0" w:space="0" w:color="auto"/>
            <w:right w:val="none" w:sz="0" w:space="0" w:color="auto"/>
          </w:divBdr>
        </w:div>
      </w:divsChild>
    </w:div>
    <w:div w:id="1280994672">
      <w:bodyDiv w:val="1"/>
      <w:marLeft w:val="0"/>
      <w:marRight w:val="0"/>
      <w:marTop w:val="0"/>
      <w:marBottom w:val="0"/>
      <w:divBdr>
        <w:top w:val="none" w:sz="0" w:space="0" w:color="auto"/>
        <w:left w:val="none" w:sz="0" w:space="0" w:color="auto"/>
        <w:bottom w:val="none" w:sz="0" w:space="0" w:color="auto"/>
        <w:right w:val="none" w:sz="0" w:space="0" w:color="auto"/>
      </w:divBdr>
    </w:div>
    <w:div w:id="1290865881">
      <w:bodyDiv w:val="1"/>
      <w:marLeft w:val="0"/>
      <w:marRight w:val="0"/>
      <w:marTop w:val="0"/>
      <w:marBottom w:val="0"/>
      <w:divBdr>
        <w:top w:val="none" w:sz="0" w:space="0" w:color="auto"/>
        <w:left w:val="none" w:sz="0" w:space="0" w:color="auto"/>
        <w:bottom w:val="none" w:sz="0" w:space="0" w:color="auto"/>
        <w:right w:val="none" w:sz="0" w:space="0" w:color="auto"/>
      </w:divBdr>
    </w:div>
    <w:div w:id="1293095715">
      <w:bodyDiv w:val="1"/>
      <w:marLeft w:val="0"/>
      <w:marRight w:val="0"/>
      <w:marTop w:val="0"/>
      <w:marBottom w:val="0"/>
      <w:divBdr>
        <w:top w:val="none" w:sz="0" w:space="0" w:color="auto"/>
        <w:left w:val="none" w:sz="0" w:space="0" w:color="auto"/>
        <w:bottom w:val="none" w:sz="0" w:space="0" w:color="auto"/>
        <w:right w:val="none" w:sz="0" w:space="0" w:color="auto"/>
      </w:divBdr>
    </w:div>
    <w:div w:id="1335718462">
      <w:bodyDiv w:val="1"/>
      <w:marLeft w:val="0"/>
      <w:marRight w:val="0"/>
      <w:marTop w:val="0"/>
      <w:marBottom w:val="0"/>
      <w:divBdr>
        <w:top w:val="none" w:sz="0" w:space="0" w:color="auto"/>
        <w:left w:val="none" w:sz="0" w:space="0" w:color="auto"/>
        <w:bottom w:val="none" w:sz="0" w:space="0" w:color="auto"/>
        <w:right w:val="none" w:sz="0" w:space="0" w:color="auto"/>
      </w:divBdr>
    </w:div>
    <w:div w:id="1365522328">
      <w:bodyDiv w:val="1"/>
      <w:marLeft w:val="0"/>
      <w:marRight w:val="0"/>
      <w:marTop w:val="0"/>
      <w:marBottom w:val="0"/>
      <w:divBdr>
        <w:top w:val="none" w:sz="0" w:space="0" w:color="auto"/>
        <w:left w:val="none" w:sz="0" w:space="0" w:color="auto"/>
        <w:bottom w:val="none" w:sz="0" w:space="0" w:color="auto"/>
        <w:right w:val="none" w:sz="0" w:space="0" w:color="auto"/>
      </w:divBdr>
    </w:div>
    <w:div w:id="1489978089">
      <w:bodyDiv w:val="1"/>
      <w:marLeft w:val="0"/>
      <w:marRight w:val="0"/>
      <w:marTop w:val="0"/>
      <w:marBottom w:val="0"/>
      <w:divBdr>
        <w:top w:val="none" w:sz="0" w:space="0" w:color="auto"/>
        <w:left w:val="none" w:sz="0" w:space="0" w:color="auto"/>
        <w:bottom w:val="none" w:sz="0" w:space="0" w:color="auto"/>
        <w:right w:val="none" w:sz="0" w:space="0" w:color="auto"/>
      </w:divBdr>
    </w:div>
    <w:div w:id="1562710319">
      <w:bodyDiv w:val="1"/>
      <w:marLeft w:val="0"/>
      <w:marRight w:val="0"/>
      <w:marTop w:val="0"/>
      <w:marBottom w:val="0"/>
      <w:divBdr>
        <w:top w:val="none" w:sz="0" w:space="0" w:color="auto"/>
        <w:left w:val="none" w:sz="0" w:space="0" w:color="auto"/>
        <w:bottom w:val="none" w:sz="0" w:space="0" w:color="auto"/>
        <w:right w:val="none" w:sz="0" w:space="0" w:color="auto"/>
      </w:divBdr>
      <w:divsChild>
        <w:div w:id="1962376116">
          <w:marLeft w:val="547"/>
          <w:marRight w:val="0"/>
          <w:marTop w:val="0"/>
          <w:marBottom w:val="0"/>
          <w:divBdr>
            <w:top w:val="none" w:sz="0" w:space="0" w:color="auto"/>
            <w:left w:val="none" w:sz="0" w:space="0" w:color="auto"/>
            <w:bottom w:val="none" w:sz="0" w:space="0" w:color="auto"/>
            <w:right w:val="none" w:sz="0" w:space="0" w:color="auto"/>
          </w:divBdr>
        </w:div>
      </w:divsChild>
    </w:div>
    <w:div w:id="1625035519">
      <w:bodyDiv w:val="1"/>
      <w:marLeft w:val="0"/>
      <w:marRight w:val="0"/>
      <w:marTop w:val="0"/>
      <w:marBottom w:val="0"/>
      <w:divBdr>
        <w:top w:val="none" w:sz="0" w:space="0" w:color="auto"/>
        <w:left w:val="none" w:sz="0" w:space="0" w:color="auto"/>
        <w:bottom w:val="none" w:sz="0" w:space="0" w:color="auto"/>
        <w:right w:val="none" w:sz="0" w:space="0" w:color="auto"/>
      </w:divBdr>
    </w:div>
    <w:div w:id="1639069697">
      <w:bodyDiv w:val="1"/>
      <w:marLeft w:val="0"/>
      <w:marRight w:val="0"/>
      <w:marTop w:val="0"/>
      <w:marBottom w:val="0"/>
      <w:divBdr>
        <w:top w:val="none" w:sz="0" w:space="0" w:color="auto"/>
        <w:left w:val="none" w:sz="0" w:space="0" w:color="auto"/>
        <w:bottom w:val="none" w:sz="0" w:space="0" w:color="auto"/>
        <w:right w:val="none" w:sz="0" w:space="0" w:color="auto"/>
      </w:divBdr>
    </w:div>
    <w:div w:id="1642225013">
      <w:bodyDiv w:val="1"/>
      <w:marLeft w:val="0"/>
      <w:marRight w:val="0"/>
      <w:marTop w:val="0"/>
      <w:marBottom w:val="0"/>
      <w:divBdr>
        <w:top w:val="none" w:sz="0" w:space="0" w:color="auto"/>
        <w:left w:val="none" w:sz="0" w:space="0" w:color="auto"/>
        <w:bottom w:val="none" w:sz="0" w:space="0" w:color="auto"/>
        <w:right w:val="none" w:sz="0" w:space="0" w:color="auto"/>
      </w:divBdr>
    </w:div>
    <w:div w:id="1790588426">
      <w:bodyDiv w:val="1"/>
      <w:marLeft w:val="0"/>
      <w:marRight w:val="0"/>
      <w:marTop w:val="0"/>
      <w:marBottom w:val="0"/>
      <w:divBdr>
        <w:top w:val="none" w:sz="0" w:space="0" w:color="auto"/>
        <w:left w:val="none" w:sz="0" w:space="0" w:color="auto"/>
        <w:bottom w:val="none" w:sz="0" w:space="0" w:color="auto"/>
        <w:right w:val="none" w:sz="0" w:space="0" w:color="auto"/>
      </w:divBdr>
      <w:divsChild>
        <w:div w:id="1078871238">
          <w:marLeft w:val="547"/>
          <w:marRight w:val="0"/>
          <w:marTop w:val="0"/>
          <w:marBottom w:val="0"/>
          <w:divBdr>
            <w:top w:val="none" w:sz="0" w:space="0" w:color="auto"/>
            <w:left w:val="none" w:sz="0" w:space="0" w:color="auto"/>
            <w:bottom w:val="none" w:sz="0" w:space="0" w:color="auto"/>
            <w:right w:val="none" w:sz="0" w:space="0" w:color="auto"/>
          </w:divBdr>
        </w:div>
      </w:divsChild>
    </w:div>
    <w:div w:id="1793016128">
      <w:bodyDiv w:val="1"/>
      <w:marLeft w:val="0"/>
      <w:marRight w:val="0"/>
      <w:marTop w:val="0"/>
      <w:marBottom w:val="0"/>
      <w:divBdr>
        <w:top w:val="none" w:sz="0" w:space="0" w:color="auto"/>
        <w:left w:val="none" w:sz="0" w:space="0" w:color="auto"/>
        <w:bottom w:val="none" w:sz="0" w:space="0" w:color="auto"/>
        <w:right w:val="none" w:sz="0" w:space="0" w:color="auto"/>
      </w:divBdr>
    </w:div>
    <w:div w:id="1806311142">
      <w:bodyDiv w:val="1"/>
      <w:marLeft w:val="0"/>
      <w:marRight w:val="0"/>
      <w:marTop w:val="0"/>
      <w:marBottom w:val="0"/>
      <w:divBdr>
        <w:top w:val="none" w:sz="0" w:space="0" w:color="auto"/>
        <w:left w:val="none" w:sz="0" w:space="0" w:color="auto"/>
        <w:bottom w:val="none" w:sz="0" w:space="0" w:color="auto"/>
        <w:right w:val="none" w:sz="0" w:space="0" w:color="auto"/>
      </w:divBdr>
    </w:div>
    <w:div w:id="1807358587">
      <w:bodyDiv w:val="1"/>
      <w:marLeft w:val="0"/>
      <w:marRight w:val="0"/>
      <w:marTop w:val="0"/>
      <w:marBottom w:val="0"/>
      <w:divBdr>
        <w:top w:val="none" w:sz="0" w:space="0" w:color="auto"/>
        <w:left w:val="none" w:sz="0" w:space="0" w:color="auto"/>
        <w:bottom w:val="none" w:sz="0" w:space="0" w:color="auto"/>
        <w:right w:val="none" w:sz="0" w:space="0" w:color="auto"/>
      </w:divBdr>
      <w:divsChild>
        <w:div w:id="1957058052">
          <w:marLeft w:val="547"/>
          <w:marRight w:val="0"/>
          <w:marTop w:val="0"/>
          <w:marBottom w:val="0"/>
          <w:divBdr>
            <w:top w:val="none" w:sz="0" w:space="0" w:color="auto"/>
            <w:left w:val="none" w:sz="0" w:space="0" w:color="auto"/>
            <w:bottom w:val="none" w:sz="0" w:space="0" w:color="auto"/>
            <w:right w:val="none" w:sz="0" w:space="0" w:color="auto"/>
          </w:divBdr>
        </w:div>
      </w:divsChild>
    </w:div>
    <w:div w:id="1848594139">
      <w:bodyDiv w:val="1"/>
      <w:marLeft w:val="0"/>
      <w:marRight w:val="0"/>
      <w:marTop w:val="0"/>
      <w:marBottom w:val="0"/>
      <w:divBdr>
        <w:top w:val="none" w:sz="0" w:space="0" w:color="auto"/>
        <w:left w:val="none" w:sz="0" w:space="0" w:color="auto"/>
        <w:bottom w:val="none" w:sz="0" w:space="0" w:color="auto"/>
        <w:right w:val="none" w:sz="0" w:space="0" w:color="auto"/>
      </w:divBdr>
      <w:divsChild>
        <w:div w:id="1299188262">
          <w:marLeft w:val="547"/>
          <w:marRight w:val="0"/>
          <w:marTop w:val="0"/>
          <w:marBottom w:val="0"/>
          <w:divBdr>
            <w:top w:val="none" w:sz="0" w:space="0" w:color="auto"/>
            <w:left w:val="none" w:sz="0" w:space="0" w:color="auto"/>
            <w:bottom w:val="none" w:sz="0" w:space="0" w:color="auto"/>
            <w:right w:val="none" w:sz="0" w:space="0" w:color="auto"/>
          </w:divBdr>
        </w:div>
      </w:divsChild>
    </w:div>
    <w:div w:id="1889298530">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976325270">
      <w:bodyDiv w:val="1"/>
      <w:marLeft w:val="0"/>
      <w:marRight w:val="0"/>
      <w:marTop w:val="0"/>
      <w:marBottom w:val="0"/>
      <w:divBdr>
        <w:top w:val="none" w:sz="0" w:space="0" w:color="auto"/>
        <w:left w:val="none" w:sz="0" w:space="0" w:color="auto"/>
        <w:bottom w:val="none" w:sz="0" w:space="0" w:color="auto"/>
        <w:right w:val="none" w:sz="0" w:space="0" w:color="auto"/>
      </w:divBdr>
    </w:div>
    <w:div w:id="2052336753">
      <w:bodyDiv w:val="1"/>
      <w:marLeft w:val="0"/>
      <w:marRight w:val="0"/>
      <w:marTop w:val="0"/>
      <w:marBottom w:val="0"/>
      <w:divBdr>
        <w:top w:val="none" w:sz="0" w:space="0" w:color="auto"/>
        <w:left w:val="none" w:sz="0" w:space="0" w:color="auto"/>
        <w:bottom w:val="none" w:sz="0" w:space="0" w:color="auto"/>
        <w:right w:val="none" w:sz="0" w:space="0" w:color="auto"/>
      </w:divBdr>
      <w:divsChild>
        <w:div w:id="16643839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justice.just.fgov.be/eli/" TargetMode="External"/><Relationship Id="rId13" Type="http://schemas.openxmlformats.org/officeDocument/2006/relationships/hyperlink" Target="https://www.amnesty.org.tr/icerik/dunyada-korona-mucadelesi-pandemi-hak-ihlallerine-gerekce-olamaz" TargetMode="External"/><Relationship Id="rId18" Type="http://schemas.openxmlformats.org/officeDocument/2006/relationships/hyperlink" Target="https://tr.euronews.com/2021/06/15/macaristan-da-escinselligin-tesvik-edilmesini-yasaklayan-yasa-teklifi-kabul-edildi" TargetMode="External"/><Relationship Id="rId3" Type="http://schemas.openxmlformats.org/officeDocument/2006/relationships/hyperlink" Target="https://www.idea.int/sites/default/files/publications/global-democratic-trends-before-and-during-covid-19-pandemic.pdf" TargetMode="External"/><Relationship Id="rId21" Type="http://schemas.openxmlformats.org/officeDocument/2006/relationships/hyperlink" Target="http://www.anayasa.gen.tr/korona.htm" TargetMode="External"/><Relationship Id="rId7" Type="http://schemas.openxmlformats.org/officeDocument/2006/relationships/hyperlink" Target="http://www.ejustice.just.fgov.be/eli/decret/2020/03/17/2020040687/justel" TargetMode="External"/><Relationship Id="rId12" Type="http://schemas.openxmlformats.org/officeDocument/2006/relationships/hyperlink" Target="https://rm.coe.int/orban-pm-hungary-24-03-2020/16809d5f04" TargetMode="External"/><Relationship Id="rId17" Type="http://schemas.openxmlformats.org/officeDocument/2006/relationships/hyperlink" Target="https://www.europarl.europa.eu/news/en/agenda/briefing/2021-02-08/16/parliament-to-discuss-the-de-facto-ban-on-abortion-in-poland" TargetMode="External"/><Relationship Id="rId2" Type="http://schemas.openxmlformats.org/officeDocument/2006/relationships/hyperlink" Target="https://www.eiu.com/n/campaigns/democracy-index-2020/" TargetMode="External"/><Relationship Id="rId16" Type="http://schemas.openxmlformats.org/officeDocument/2006/relationships/hyperlink" Target="https://www.theguardian.com/world/2020/nov/03/poland-stalls-abortion-ban-amid-nationwide-protests" TargetMode="External"/><Relationship Id="rId20" Type="http://schemas.openxmlformats.org/officeDocument/2006/relationships/hyperlink" Target="http://www.anayasa.gen.tr/korona.htm" TargetMode="External"/><Relationship Id="rId1" Type="http://schemas.openxmlformats.org/officeDocument/2006/relationships/hyperlink" Target="mailto:deniz06286@gmail.com" TargetMode="External"/><Relationship Id="rId6" Type="http://schemas.openxmlformats.org/officeDocument/2006/relationships/hyperlink" Target="http://www.ejustice.just.fgov.be/eli/" TargetMode="External"/><Relationship Id="rId11" Type="http://schemas.openxmlformats.org/officeDocument/2006/relationships/hyperlink" Target="http://www.iconnectblog.com/2020/04/how-covid-19-unveils-the-true-autocrats-viktor-orbans-ermachtigungsgesetz/" TargetMode="External"/><Relationship Id="rId5" Type="http://schemas.openxmlformats.org/officeDocument/2006/relationships/hyperlink" Target="https://www.govinfo.gov/content/pkg/FR-2020-03-18/pdf/2020-05794.pdf" TargetMode="External"/><Relationship Id="rId15" Type="http://schemas.openxmlformats.org/officeDocument/2006/relationships/hyperlink" Target="https://www.reuters.com/article/us-health-coronavirus-hungary-military-idUSKBN2161C8" TargetMode="External"/><Relationship Id="rId10" Type="http://schemas.openxmlformats.org/officeDocument/2006/relationships/hyperlink" Target="https://www.venice.coe.int/webforms/documents/default.aspx?pdffile=CDL-AD(2016)007-tur" TargetMode="External"/><Relationship Id="rId19" Type="http://schemas.openxmlformats.org/officeDocument/2006/relationships/hyperlink" Target="http://www.anayasa.gen.tr/korona.htm" TargetMode="External"/><Relationship Id="rId4" Type="http://schemas.openxmlformats.org/officeDocument/2006/relationships/hyperlink" Target="https://rm.coe.int/sg-inf-2020-11-respecting-democracy-rule-of-law-and-human-rights-in-th/16809e1f40" TargetMode="External"/><Relationship Id="rId9" Type="http://schemas.openxmlformats.org/officeDocument/2006/relationships/hyperlink" Target="https://hunconcourt.hu/uploads/sites/3/2021/01/thefundamentallawofhungary_20201223_fin.pdf" TargetMode="External"/><Relationship Id="rId14" Type="http://schemas.openxmlformats.org/officeDocument/2006/relationships/hyperlink" Target="https://www.europarl.europa.eu/RegData/etudes/BRIE/2020/649401/EPRS_BRI(2020)649401_EN.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926E8-792E-47EF-9E2F-9F734954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7057</Words>
  <Characters>40226</Characters>
  <Application>Microsoft Office Word</Application>
  <DocSecurity>0</DocSecurity>
  <Lines>335</Lines>
  <Paragraphs>94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Deniz.Polat</dc:creator>
  <cp:keywords/>
  <dc:description/>
  <cp:lastModifiedBy>bilkent</cp:lastModifiedBy>
  <cp:revision>2</cp:revision>
  <dcterms:created xsi:type="dcterms:W3CDTF">2021-10-19T05:42:00Z</dcterms:created>
  <dcterms:modified xsi:type="dcterms:W3CDTF">2021-10-19T05:42:00Z</dcterms:modified>
</cp:coreProperties>
</file>