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E1C2C" w14:textId="77777777" w:rsidR="008004B8" w:rsidRDefault="00845011">
      <w:pPr>
        <w:pStyle w:val="MdHeading1"/>
      </w:pPr>
      <w:r>
        <w:t>“Canavarın Karnında”: Yapay Zekada Tahakküm Matrisini Kırmak</w:t>
      </w:r>
    </w:p>
    <w:p w14:paraId="4C9E1C2D" w14:textId="77777777" w:rsidR="008004B8" w:rsidRDefault="00845011">
      <w:pPr>
        <w:pStyle w:val="MdHeading2"/>
      </w:pPr>
      <w:r>
        <w:t>Özet</w:t>
      </w:r>
    </w:p>
    <w:p w14:paraId="4C9E1C2E" w14:textId="77777777" w:rsidR="008004B8" w:rsidRDefault="00845011">
      <w:pPr>
        <w:pStyle w:val="MdParagraph"/>
      </w:pPr>
      <w:r>
        <w:t xml:space="preserve">Yapay </w:t>
      </w:r>
      <w:proofErr w:type="gramStart"/>
      <w:r>
        <w:t>zeka</w:t>
      </w:r>
      <w:proofErr w:type="gramEnd"/>
      <w:r>
        <w:t xml:space="preserve">, çoğu zaman tarafsız, özerk ve teknik bir karar verme aracı olarak sunulmaktadır. Oysa yapay </w:t>
      </w:r>
      <w:proofErr w:type="gramStart"/>
      <w:r>
        <w:t>zeka</w:t>
      </w:r>
      <w:proofErr w:type="gramEnd"/>
      <w:r>
        <w:t xml:space="preserve"> sistemleri; veri üretimi ve sınıflandırmadan görünmeyen emeğe, tasarım tercihlerinden kurumsal kullanıma ve sorumluluk rejimlerine kadar uzanan çok katmanlı </w:t>
      </w:r>
      <w:proofErr w:type="spellStart"/>
      <w:r>
        <w:t>sosyo</w:t>
      </w:r>
      <w:proofErr w:type="spellEnd"/>
      <w:r>
        <w:t>-teknik yapılardır. Bu yapıların her aşamasında toplumsal cinsiyet, ırk, sınıf, göçmenlik, engellilik ve diğer toplumsal konumlarla kesişen eşitsizlikler yeniden üretilebilir.</w:t>
      </w:r>
    </w:p>
    <w:p w14:paraId="4C9E1C2F" w14:textId="77777777" w:rsidR="008004B8" w:rsidRDefault="008004B8">
      <w:pPr>
        <w:pStyle w:val="MdSpace"/>
        <w:spacing w:after="60"/>
      </w:pPr>
    </w:p>
    <w:p w14:paraId="4C9E1C30" w14:textId="77777777" w:rsidR="008004B8" w:rsidRDefault="00845011">
      <w:pPr>
        <w:pStyle w:val="MdParagraph"/>
      </w:pPr>
      <w:r>
        <w:t xml:space="preserve">Bu tebliğ, yapay zekada eşitsizliği yalnızca algoritmik çıktı veya hata oranı düzeyinde inceleyen yaklaşımları yetersiz bulmaktadır. Çalışmanın temel iddiası, kesişimsel adaletin yapay </w:t>
      </w:r>
      <w:proofErr w:type="gramStart"/>
      <w:r>
        <w:t>zeka</w:t>
      </w:r>
      <w:proofErr w:type="gramEnd"/>
      <w:r>
        <w:t xml:space="preserve"> sistemlerinin toplumsal bağlamını, güç ilişkilerini, veri ve sınıflandırma tercihlerini, görünmeyen emeği, tasarımcıların konumlanmasını ve zarar gören kişilerin başvuru/telafi imkanlarını birlikte inceleyen </w:t>
      </w:r>
      <w:proofErr w:type="spellStart"/>
      <w:r>
        <w:t>sosyo</w:t>
      </w:r>
      <w:proofErr w:type="spellEnd"/>
      <w:r>
        <w:t xml:space="preserve">-teknik ve hukuki bir yöntem olarak anlaşılması gerektiğidir. Bu amaçla Collins’in tahakküm matrisi, </w:t>
      </w:r>
      <w:proofErr w:type="spellStart"/>
      <w:r>
        <w:t>Crenshaw’ın</w:t>
      </w:r>
      <w:proofErr w:type="spellEnd"/>
      <w:r>
        <w:t xml:space="preserve"> hukuki </w:t>
      </w:r>
      <w:proofErr w:type="spellStart"/>
      <w:r>
        <w:t>kesişimsellik</w:t>
      </w:r>
      <w:proofErr w:type="spellEnd"/>
      <w:r>
        <w:t xml:space="preserve"> yaklaşımı, Smith’in konumlanmış bilgi ve bilincin çatallanması düşüncesi ile </w:t>
      </w:r>
      <w:proofErr w:type="spellStart"/>
      <w:r>
        <w:t>Haraway’in</w:t>
      </w:r>
      <w:proofErr w:type="spellEnd"/>
      <w:r>
        <w:t xml:space="preserve"> teknolojiyle içeriden ve sorumluluk temelli ilişki kurma önerisi; femini</w:t>
      </w:r>
      <w:r>
        <w:t>st veri çalışmaları, tasarım adaleti ve algoritmik idare literatürüyle birlikte okunmaktadır.</w:t>
      </w:r>
    </w:p>
    <w:p w14:paraId="4C9E1C31" w14:textId="77777777" w:rsidR="008004B8" w:rsidRDefault="008004B8">
      <w:pPr>
        <w:pStyle w:val="MdSpace"/>
        <w:spacing w:after="60"/>
      </w:pPr>
    </w:p>
    <w:p w14:paraId="4C9E1C32" w14:textId="12D90730" w:rsidR="008004B8" w:rsidRDefault="00845011">
      <w:pPr>
        <w:pStyle w:val="MdParagraph"/>
      </w:pPr>
      <w:r>
        <w:t xml:space="preserve">Tebliğin ağırlık noktası kamu hukukudur. Kamu hukuku burada yalnızca idarenin yapay </w:t>
      </w:r>
      <w:proofErr w:type="gramStart"/>
      <w:r>
        <w:t>zeka</w:t>
      </w:r>
      <w:proofErr w:type="gramEnd"/>
      <w:r>
        <w:t xml:space="preserve"> destekli işlem ve eylemlerini denetleyen dar bir alan olarak değil, kamu makamlarının doğrudan kullanımını ve özel teknoloji şirketlerinin temel haklar üzerindeki etkisini birlikte düzenleyen bir çerçeve olarak ele alınmaktadır. AB Yapay </w:t>
      </w:r>
      <w:proofErr w:type="gramStart"/>
      <w:r>
        <w:t>Zeka</w:t>
      </w:r>
      <w:proofErr w:type="gramEnd"/>
      <w:r>
        <w:t xml:space="preserve"> Tüzüğü’nün insan gözetimi, yüksek riskli sistemleri kullananların yükümlülükleri, temel haklar etki değerlendirmesi ve bireysel karar açıklaması hükümleri; GDPR m. 22; Türkiye Cumhuriyeti Anayasası’nın eşitlik, kişisel verilerin korunması, hak arama, etkili başvur</w:t>
      </w:r>
      <w:r>
        <w:t xml:space="preserve">u ve idarenin sorumluluğuna ilişkin hükümleriyle birlikte değerlendirilmektedir. Sonuç olarak tebliğ, yapay </w:t>
      </w:r>
      <w:proofErr w:type="gramStart"/>
      <w:r>
        <w:t>zeka</w:t>
      </w:r>
      <w:proofErr w:type="gramEnd"/>
      <w:r>
        <w:t xml:space="preserve"> destekli kamusal kararlar ve temel hakları etkileyen özel teknolojik sistemler için kesişimsel temel haklar etki değerlendirmesi ve sekiz aşamalı bir hukuk</w:t>
      </w:r>
      <w:r w:rsidR="003D435F">
        <w:t>i</w:t>
      </w:r>
      <w:r>
        <w:t xml:space="preserve"> denetim zinciri önermektedir.</w:t>
      </w:r>
    </w:p>
    <w:p w14:paraId="4C9E1C33" w14:textId="77777777" w:rsidR="008004B8" w:rsidRDefault="008004B8">
      <w:pPr>
        <w:pStyle w:val="MdSpace"/>
        <w:spacing w:after="60"/>
      </w:pPr>
    </w:p>
    <w:p w14:paraId="4C9E1C34" w14:textId="77777777" w:rsidR="008004B8" w:rsidRDefault="00845011">
      <w:pPr>
        <w:pStyle w:val="MdParagraph"/>
      </w:pPr>
      <w:r>
        <w:rPr>
          <w:rStyle w:val="MdStrong"/>
        </w:rPr>
        <w:t xml:space="preserve">Anahtar kelimeler: Yapay </w:t>
      </w:r>
      <w:proofErr w:type="gramStart"/>
      <w:r>
        <w:rPr>
          <w:rStyle w:val="MdStrong"/>
        </w:rPr>
        <w:t>zeka</w:t>
      </w:r>
      <w:proofErr w:type="gramEnd"/>
      <w:r>
        <w:rPr>
          <w:rStyle w:val="MdStrong"/>
        </w:rPr>
        <w:t xml:space="preserve">, tahakküm matrisi, </w:t>
      </w:r>
      <w:proofErr w:type="spellStart"/>
      <w:r>
        <w:rPr>
          <w:rStyle w:val="MdStrong"/>
        </w:rPr>
        <w:t>kesişimsellik</w:t>
      </w:r>
      <w:proofErr w:type="spellEnd"/>
      <w:r>
        <w:rPr>
          <w:rStyle w:val="MdStrong"/>
        </w:rPr>
        <w:t>, feminist veri çalışmaları, algoritmik idare, temel haklar, idari sorumluluk.</w:t>
      </w:r>
    </w:p>
    <w:p w14:paraId="4C9E1C35" w14:textId="77777777" w:rsidR="008004B8" w:rsidRDefault="008004B8">
      <w:pPr>
        <w:pStyle w:val="MdSpace"/>
        <w:spacing w:after="60"/>
      </w:pPr>
    </w:p>
    <w:p w14:paraId="4C9E1C36" w14:textId="77777777" w:rsidR="008004B8" w:rsidRDefault="00845011">
      <w:pPr>
        <w:pStyle w:val="MdHeading2"/>
      </w:pPr>
      <w:r>
        <w:t>1. Giriş: Canavarın karnında yaşamak</w:t>
      </w:r>
    </w:p>
    <w:p w14:paraId="4C9E1C37" w14:textId="77777777" w:rsidR="008004B8" w:rsidRDefault="00845011">
      <w:pPr>
        <w:pStyle w:val="MdParagraph"/>
      </w:pPr>
      <w:r>
        <w:t xml:space="preserve">Yapay </w:t>
      </w:r>
      <w:proofErr w:type="gramStart"/>
      <w:r>
        <w:t>zeka</w:t>
      </w:r>
      <w:proofErr w:type="gramEnd"/>
      <w:r>
        <w:t xml:space="preserve"> hakkında yürütülen güncel tartışmalar çoğu zaman iki karşıt anlatı arasında sıkışmaktadır. İlk anlatı, yapay zekayı insan kararlarının hatalarını azaltacak, kamu hizmetlerini hızlandıracak ve toplumsal sorunları daha nesnel biçimde çözecek tarafsız bir araç olarak görür. İkinci anlatı ise yapay zekayı, insan özerkliğini ortadan kaldıran, toplumsal eşitsizlikleri derinleştiren ve denetlenemez bir teknolojik tehdit olarak resmeder. Bu iki anlatının ortak noktası, yapay zekayı çoğu zaman toplumsal ilişkil</w:t>
      </w:r>
      <w:r>
        <w:t>erin dışında duran bir nesne gibi kurmalarıdır.</w:t>
      </w:r>
    </w:p>
    <w:p w14:paraId="4C9E1C38" w14:textId="77777777" w:rsidR="008004B8" w:rsidRDefault="008004B8">
      <w:pPr>
        <w:pStyle w:val="MdSpace"/>
        <w:spacing w:after="60"/>
      </w:pPr>
    </w:p>
    <w:p w14:paraId="4C9E1C39" w14:textId="000AE3ED" w:rsidR="008004B8" w:rsidRDefault="00845011">
      <w:pPr>
        <w:pStyle w:val="MdParagraph"/>
      </w:pPr>
      <w:r>
        <w:t xml:space="preserve">Bu tebliğin başlığındaki “canavarın karnında” metaforu, </w:t>
      </w:r>
      <w:proofErr w:type="spellStart"/>
      <w:r>
        <w:t>teknobilimsel</w:t>
      </w:r>
      <w:proofErr w:type="spellEnd"/>
      <w:r>
        <w:t xml:space="preserve"> iktidar yapılarının dışında, masum ve tarafsız bir konumdan konuşamayacağımız fikrinden hareket etmektedir. “Canavarın karnında” olmak, </w:t>
      </w:r>
      <w:proofErr w:type="spellStart"/>
      <w:r>
        <w:t>teknobilimsel</w:t>
      </w:r>
      <w:proofErr w:type="spellEnd"/>
      <w:r>
        <w:t xml:space="preserve"> düzenin içinde yaşamak; fakat bu düzeni doğal, tarafsız veya kaçınılmaz kabul etmemek demektir. Bu yaklaşım, yapay </w:t>
      </w:r>
      <w:proofErr w:type="gramStart"/>
      <w:r>
        <w:t>zeka</w:t>
      </w:r>
      <w:proofErr w:type="gramEnd"/>
      <w:r>
        <w:t xml:space="preserve"> bakımından da verimlilik iyimserliği ile teknoloji karşıtı çaresizlik arasında üçüncü bir </w:t>
      </w:r>
      <w:proofErr w:type="gramStart"/>
      <w:r>
        <w:t>imkan</w:t>
      </w:r>
      <w:proofErr w:type="gramEnd"/>
      <w:r>
        <w:t xml:space="preserve"> açar: Yapay zekanın içinde yaşarken onun iktidar ilişkilerini görünür kılmak ve hukuk yoluyla dönüştürmek.</w:t>
      </w:r>
      <w:r>
        <w:rPr>
          <w:rStyle w:val="DipnotBavurusu"/>
        </w:rPr>
        <w:footnoteReference w:id="1"/>
      </w:r>
    </w:p>
    <w:p w14:paraId="4C9E1C3A" w14:textId="77777777" w:rsidR="008004B8" w:rsidRDefault="008004B8">
      <w:pPr>
        <w:pStyle w:val="MdSpace"/>
        <w:spacing w:after="60"/>
      </w:pPr>
    </w:p>
    <w:p w14:paraId="4C9E1C3B" w14:textId="77777777" w:rsidR="008004B8" w:rsidRDefault="00845011">
      <w:pPr>
        <w:pStyle w:val="MdParagraph"/>
      </w:pPr>
      <w:r>
        <w:t xml:space="preserve">Yapay </w:t>
      </w:r>
      <w:proofErr w:type="gramStart"/>
      <w:r>
        <w:t>zeka</w:t>
      </w:r>
      <w:proofErr w:type="gramEnd"/>
      <w:r>
        <w:t xml:space="preserve"> sistemi yalnızca bir model veya algoritmadan ibaret değildir. Sistem; hangi verilerin toplandığına, kimlerin veri üreticisi olarak kabul edildiğine, hangi kategorilerin kurulduğuna, veriyi kimin etiketlediğine, başarı ölçütünün nasıl tanımlandığına, ürünü kimin tasarladığına, kamu makamının sistemi hangi amaçla kullandığına ve bir zarar doğduğunda kimin sorumlu tutulduğuna ilişkin kararların toplamıdır. Bu nedenle sorun yalnızca “algoritma önyargılı mı?” sorusuyla sınırlanamaz. Asıl sorular şunlardır: </w:t>
      </w:r>
      <w:r>
        <w:t>Bu sistem hangi toplumsal ilişkiler içinde kurulmuştur? Hangi grupları görünür, hangilerini görünmez kılmaktadır? Hangi insan deneyimlerini ölçülebilir ve hukuki bakımdan önemli kabul etmektedir? Kamu gücü bu sistemi kullanırken bireye hangi usul güvencelerini sunmaktadır?</w:t>
      </w:r>
    </w:p>
    <w:p w14:paraId="4C9E1C3C" w14:textId="77777777" w:rsidR="008004B8" w:rsidRDefault="008004B8">
      <w:pPr>
        <w:pStyle w:val="MdSpace"/>
        <w:spacing w:after="60"/>
      </w:pPr>
    </w:p>
    <w:p w14:paraId="4C9E1C3D" w14:textId="77777777" w:rsidR="008004B8" w:rsidRDefault="00845011">
      <w:pPr>
        <w:pStyle w:val="MdParagraph"/>
      </w:pPr>
      <w:r>
        <w:t xml:space="preserve">Bu tebliğde şu soruya yanıt vermeye çalışıyorum: Yapay </w:t>
      </w:r>
      <w:proofErr w:type="gramStart"/>
      <w:r>
        <w:t>zeka</w:t>
      </w:r>
      <w:proofErr w:type="gramEnd"/>
      <w:r>
        <w:t>, toplumsal cinsiyet, ırk, sınıf ve göçmenlik gibi farklılıkların kesiştiği alanlarda eşitsizlikleri nasıl yeniden üretiyor? Daha da önemlisi, kamu hukuku kamu makamlarının kararlarında ve özel teknoloji şirketlerinin faaliyetlerinde ortaya çıkan bu tahakküm biçimlerini yalnızca sonradan gidermeye çalışan bir araç olmaktan çıkıp, onları yaşam döngüleri boyunca nasıl görünür ve denetlenebilir kılabilir?</w:t>
      </w:r>
    </w:p>
    <w:p w14:paraId="4C9E1C3E" w14:textId="77777777" w:rsidR="008004B8" w:rsidRDefault="008004B8">
      <w:pPr>
        <w:pStyle w:val="MdSpace"/>
        <w:spacing w:after="60"/>
      </w:pPr>
    </w:p>
    <w:p w14:paraId="4C9E1C3F" w14:textId="2357C6C1" w:rsidR="008004B8" w:rsidRDefault="00845011">
      <w:pPr>
        <w:pStyle w:val="MdParagraph"/>
      </w:pPr>
      <w:r>
        <w:t>Bu soruya cevap ararken eleştirel ve kavramsal bir literatür okumasından hareket ediyorum. Feminist teori, hukuk</w:t>
      </w:r>
      <w:r w:rsidR="003D435F">
        <w:t>i</w:t>
      </w:r>
      <w:r>
        <w:t xml:space="preserve"> </w:t>
      </w:r>
      <w:proofErr w:type="spellStart"/>
      <w:r>
        <w:t>kesişimsellik</w:t>
      </w:r>
      <w:proofErr w:type="spellEnd"/>
      <w:r>
        <w:t>, feminist veri çalışmaları, tasarım adaleti, algoritmik adalet ve kamu hukuku alanlarındaki tartışmaları aynı çerçevede buluşturmaya çalışıyorum. Tebliğin özgün katkısı, yapay zekanın ürettiği eşitsizlikleri yalnızca teknik bir sorun olarak değil, farklı iktidar ilişkilerinin kesiştiği bir tahakküm matrisi olarak ele almasıdır.</w:t>
      </w:r>
    </w:p>
    <w:p w14:paraId="4C9E1C41" w14:textId="0A7FAFCE" w:rsidR="008004B8" w:rsidRDefault="00845011">
      <w:pPr>
        <w:pStyle w:val="MdHeading2"/>
      </w:pPr>
      <w:r>
        <w:t>2.</w:t>
      </w:r>
      <w:r>
        <w:t xml:space="preserve"> Tahakküm matrisi, konumlanma ve içeriden eleştiri</w:t>
      </w:r>
    </w:p>
    <w:p w14:paraId="4C9E1C42" w14:textId="77777777" w:rsidR="008004B8" w:rsidRDefault="00845011">
      <w:pPr>
        <w:pStyle w:val="MdParagraph"/>
      </w:pPr>
      <w:r>
        <w:t xml:space="preserve">Yapay </w:t>
      </w:r>
      <w:proofErr w:type="gramStart"/>
      <w:r>
        <w:t>zeka</w:t>
      </w:r>
      <w:proofErr w:type="gramEnd"/>
      <w:r>
        <w:t xml:space="preserve"> sistemlerinde eşitsizlik tek bir toplumsal kategori üzerinden ortaya çıkmaz. Toplumsal cinsiyet, ırk, sınıf, göçmenlik, engellilik ve yaş gibi farklılıklar belirli kurumsal bağlamlarda birbirini etkileyerek özgül zarar biçimleri yaratabilir. Bu nedenle bir kişinin yalnızca kadın, göçmen veya engelli olarak değil, bu konumların kesişiminde nasıl değerlendirildiğine bakmak gerekir. Hukuk bakımından </w:t>
      </w:r>
      <w:proofErr w:type="spellStart"/>
      <w:r>
        <w:t>kesişimsellik</w:t>
      </w:r>
      <w:proofErr w:type="spellEnd"/>
      <w:r>
        <w:t xml:space="preserve"> de tam olarak bunu gerektirir: Ayrımcılığı tek bir kategoriye indirgememek ve kategorilerin h</w:t>
      </w:r>
      <w:r>
        <w:t>angi tarihsel ve kurumsal ilişkiler içinde birlikte işlediğini görmek.</w:t>
      </w:r>
    </w:p>
    <w:p w14:paraId="4C9E1C43" w14:textId="77777777" w:rsidR="008004B8" w:rsidRDefault="008004B8">
      <w:pPr>
        <w:pStyle w:val="MdSpace"/>
        <w:spacing w:after="60"/>
      </w:pPr>
    </w:p>
    <w:p w14:paraId="4C9E1C44" w14:textId="77777777" w:rsidR="008004B8" w:rsidRDefault="00845011">
      <w:pPr>
        <w:pStyle w:val="MdParagraph"/>
      </w:pPr>
      <w:r>
        <w:lastRenderedPageBreak/>
        <w:t>Bu yaklaşım yapay zekaya uygulandığında, adaletin yalnızca gruplar arasındaki hata oranlarını karşılaştırmakla sağlanamayacağı ortaya çıkar. Bir sistem kadınlar bakımından genel olarak kabul edilebilir bir performans gösterirken koyu tenli kadınlar, göçmen kadınlar veya engelli kadınlar bakımından ağır sonuçlar doğurabilir. Ancak mesele yalnızca bu farkları ölçmekten de ibaret değildir. Hangi grupların ölçüme dahil edildiği, hangi deneyimlerin veri olarak kabul edildiği, hangi davranışların riskli sayıldığı</w:t>
      </w:r>
      <w:r>
        <w:t xml:space="preserve"> ve ortaya çıkan zarara kimin itiraz edebildiği de adalet sorusunun parçasıdır.</w:t>
      </w:r>
    </w:p>
    <w:p w14:paraId="4C9E1C45" w14:textId="77777777" w:rsidR="008004B8" w:rsidRDefault="008004B8">
      <w:pPr>
        <w:pStyle w:val="MdSpace"/>
        <w:spacing w:after="60"/>
      </w:pPr>
    </w:p>
    <w:p w14:paraId="4C9E1C46" w14:textId="77777777" w:rsidR="008004B8" w:rsidRDefault="00845011">
      <w:pPr>
        <w:pStyle w:val="MdParagraph"/>
      </w:pPr>
      <w:r>
        <w:t xml:space="preserve">Bu nedenle eşit hata oranları, algoritmik adaletin yalnızca bir boyutunu gösterir; adaletin bütününü açıklamaz. Kesişimsel adalet, teknik metrikleri toplumsal yapı, güç, tanınma, katılım, özneleşme ve telafi sorularıyla birlikte düşünmeyi gerektirir. Kapsayıcı yapay </w:t>
      </w:r>
      <w:proofErr w:type="gramStart"/>
      <w:r>
        <w:t>zeka</w:t>
      </w:r>
      <w:proofErr w:type="gramEnd"/>
      <w:r>
        <w:t xml:space="preserve"> da sisteme daha fazla kişinin dahil edilmesinden ibaret değildir. Asıl mesele, sistemin hangi normları yeniden ürettiğini, kimleri görünür veya görünmez kıldığını ve farklı toplumsal konumlardaki kişileri nasıl farklılaştırdığını sorgulamaktır.</w:t>
      </w:r>
    </w:p>
    <w:p w14:paraId="4C9E1C47" w14:textId="77777777" w:rsidR="008004B8" w:rsidRDefault="008004B8">
      <w:pPr>
        <w:pStyle w:val="MdSpace"/>
        <w:spacing w:after="60"/>
      </w:pPr>
    </w:p>
    <w:p w14:paraId="4C9E1C48" w14:textId="77777777" w:rsidR="008004B8" w:rsidRDefault="00845011">
      <w:pPr>
        <w:pStyle w:val="MdParagraph"/>
      </w:pPr>
      <w:r>
        <w:t xml:space="preserve">Bu noktada yapay </w:t>
      </w:r>
      <w:proofErr w:type="gramStart"/>
      <w:r>
        <w:t>zeka</w:t>
      </w:r>
      <w:proofErr w:type="gramEnd"/>
      <w:r>
        <w:t xml:space="preserve"> adaleti tartışmasını kamu hukukuna bağlayan soru şudur: Bir sistemin farklı gruplar bakımından nasıl sonuçlar doğurduğu kim tarafından, hangi bilgiyle ve hangi usulle değerlendirilecektir? Etkilenen kişiler ve topluluklar bu değerlendirmeye katılabilecek midir? Bir zarar ortaya çıktığında kişi yalnızca istatistiksel bir “hata” olarak mı görülecek, yoksa hakkı ihlal edilmiş bir özne olarak mı tanınacaktır? Kesişimsel yaklaşımın kamu hukuku bakımından önemi, bu soruları teknik denetimin dışına itmemesidi</w:t>
      </w:r>
      <w:r>
        <w:t>r.</w:t>
      </w:r>
    </w:p>
    <w:p w14:paraId="4C9E1C49" w14:textId="77777777" w:rsidR="008004B8" w:rsidRDefault="008004B8">
      <w:pPr>
        <w:pStyle w:val="MdSpace"/>
        <w:spacing w:after="60"/>
      </w:pPr>
    </w:p>
    <w:p w14:paraId="4C9E1C4A" w14:textId="77777777" w:rsidR="008004B8" w:rsidRDefault="00845011">
      <w:pPr>
        <w:pStyle w:val="MdParagraph"/>
      </w:pPr>
      <w:r>
        <w:t xml:space="preserve">Bu tebliğin başlığında yer alan “canavarın karnında” metaforu, Donna </w:t>
      </w:r>
      <w:proofErr w:type="spellStart"/>
      <w:r>
        <w:t>Haraway’in</w:t>
      </w:r>
      <w:proofErr w:type="spellEnd"/>
      <w:r>
        <w:t xml:space="preserve"> feminist bilim ve teknoloji eleştirisinden alınmıştır. </w:t>
      </w:r>
      <w:proofErr w:type="spellStart"/>
      <w:r>
        <w:t>Haraway</w:t>
      </w:r>
      <w:proofErr w:type="spellEnd"/>
      <w:r>
        <w:t>, 1988 tarihli “</w:t>
      </w:r>
      <w:proofErr w:type="spellStart"/>
      <w:r>
        <w:t>Situated</w:t>
      </w:r>
      <w:proofErr w:type="spellEnd"/>
      <w:r>
        <w:t xml:space="preserve"> </w:t>
      </w:r>
      <w:proofErr w:type="spellStart"/>
      <w:r>
        <w:t>Knowledges</w:t>
      </w:r>
      <w:proofErr w:type="spellEnd"/>
      <w:r>
        <w:t>” makalesinde bu ifadeyi, bilimsel ve teknolojik iktidar yapılarını dışarıdan, masum ve aşkın bir konumdan eleştirmenin mümkün olmadığını anlatmak için kullanır. Ona göre feminist bilgi, bu yapıların dışında kurulmuş tarafsız bir bakıştan değil, bizzat bu yapıların içinden; kendi konumunun sınırlılığını kabul eden ve gördüklerinden sorumluluk üstlenen bir perspektiften üretilir (</w:t>
      </w:r>
      <w:proofErr w:type="spellStart"/>
      <w:r>
        <w:t>Haraway</w:t>
      </w:r>
      <w:proofErr w:type="spellEnd"/>
      <w:r>
        <w:t>, 1988, özellik</w:t>
      </w:r>
      <w:r>
        <w:t>le s. 581–583).</w:t>
      </w:r>
    </w:p>
    <w:p w14:paraId="4C9E1C4B" w14:textId="77777777" w:rsidR="008004B8" w:rsidRDefault="008004B8">
      <w:pPr>
        <w:pStyle w:val="MdSpace"/>
        <w:spacing w:after="60"/>
      </w:pPr>
    </w:p>
    <w:p w14:paraId="4C9E1C4C" w14:textId="77777777" w:rsidR="008004B8" w:rsidRDefault="00845011">
      <w:pPr>
        <w:pStyle w:val="MdParagraph"/>
      </w:pPr>
      <w:proofErr w:type="spellStart"/>
      <w:r>
        <w:t>Haraway</w:t>
      </w:r>
      <w:proofErr w:type="spellEnd"/>
      <w:r>
        <w:t>, 1992 tarihli “</w:t>
      </w:r>
      <w:proofErr w:type="spellStart"/>
      <w:r>
        <w:t>The</w:t>
      </w:r>
      <w:proofErr w:type="spellEnd"/>
      <w:r>
        <w:t xml:space="preserve"> </w:t>
      </w:r>
      <w:proofErr w:type="spellStart"/>
      <w:r>
        <w:t>Promises</w:t>
      </w:r>
      <w:proofErr w:type="spellEnd"/>
      <w:r>
        <w:t xml:space="preserve"> of </w:t>
      </w:r>
      <w:proofErr w:type="spellStart"/>
      <w:r>
        <w:t>Monsters</w:t>
      </w:r>
      <w:proofErr w:type="spellEnd"/>
      <w:r>
        <w:t>” çalışmasında bu düşünceyi genişletir ve canavarı aynı zamanda “hamile” bir canavar olarak tasvir eder. Böylece canavarın karnı, yalnızca tahakkümün gerçekleştiği bir yer değil, yeni biçimlerin, ilişkilerin ve kolektiflerin doğabileceği bir oluş alanı olarak da düşünülür (</w:t>
      </w:r>
      <w:proofErr w:type="spellStart"/>
      <w:r>
        <w:t>Haraway</w:t>
      </w:r>
      <w:proofErr w:type="spellEnd"/>
      <w:r>
        <w:t xml:space="preserve">, 1992, özellikle s. 295, 297 ve 299–300). Bu tebliğde bu metaforu yapay </w:t>
      </w:r>
      <w:proofErr w:type="gramStart"/>
      <w:r>
        <w:t>zeka</w:t>
      </w:r>
      <w:proofErr w:type="gramEnd"/>
      <w:r>
        <w:t xml:space="preserve"> bağlamına taşıyorum. Yapay zekayı, küresel </w:t>
      </w:r>
      <w:proofErr w:type="spellStart"/>
      <w:r>
        <w:t>teknobilimsel</w:t>
      </w:r>
      <w:proofErr w:type="spellEnd"/>
      <w:r>
        <w:t xml:space="preserve"> düzenin dışında duran tarafsız bir araç olarak değil, bu</w:t>
      </w:r>
      <w:r>
        <w:t xml:space="preserve"> düzenin içinde tahakküm ilişkilerini yeniden üreten ve aynı zamanda yeni kamusal ilişkilerin kurulabileceği bir mücadele alanı olarak ele alıyorum. Tebliğin özgün önerisi, bu içeriden ve dönüşüm odaklı bakışı kamu hukukunun temel haklar, katılım, denetim ve sorumluluk araçlarıyla birlikte düşünmektir.</w:t>
      </w:r>
    </w:p>
    <w:p w14:paraId="4C9E1C4D" w14:textId="77777777" w:rsidR="008004B8" w:rsidRDefault="008004B8">
      <w:pPr>
        <w:pStyle w:val="MdSpace"/>
        <w:spacing w:after="60"/>
      </w:pPr>
    </w:p>
    <w:p w14:paraId="4C9E1C4E" w14:textId="77777777" w:rsidR="008004B8" w:rsidRDefault="00845011">
      <w:pPr>
        <w:pStyle w:val="MdParagraph"/>
      </w:pPr>
      <w:proofErr w:type="spellStart"/>
      <w:r>
        <w:t>Haraway’in</w:t>
      </w:r>
      <w:proofErr w:type="spellEnd"/>
      <w:r>
        <w:t xml:space="preserve"> içeriden eleştiri ve dönüşüm fikrini yapay zekaya taşıdığımızda, karşımıza yalnızca teknik bir araç değil; bedenleri, emekleri, verileri, nüfus kategorilerini ve kamusal kararları yeniden düzenleyen bir yapı çıkar. Bu yapı, bir yandan mevcut tahakküm ilişkilerini güçlendirebilir. Ancak diğer yandan bu ilişkilerin sorgulanabileceği ve yeni kamusal bağların </w:t>
      </w:r>
      <w:proofErr w:type="gramStart"/>
      <w:r>
        <w:t>kurulabileceği</w:t>
      </w:r>
      <w:proofErr w:type="gramEnd"/>
      <w:r>
        <w:t xml:space="preserve"> bir mücadele alanı da yaratır. Bu nedenle yapay zekayı yalnızca ürettiği sonuçlar üzerinden değil, bu sonuçları mümkün kılan bütün ilişkil</w:t>
      </w:r>
      <w:r>
        <w:t>er ağı içinde ele almak gerekir.</w:t>
      </w:r>
    </w:p>
    <w:p w14:paraId="4C9E1C50" w14:textId="0556FC60" w:rsidR="008004B8" w:rsidRDefault="00845011">
      <w:pPr>
        <w:pStyle w:val="MdHeading2"/>
      </w:pPr>
      <w:r>
        <w:lastRenderedPageBreak/>
        <w:t>3. Yapay zek</w:t>
      </w:r>
      <w:r w:rsidR="008A25EF">
        <w:t>a</w:t>
      </w:r>
      <w:r>
        <w:t>yı ekosistem olarak düşünmek: Tahakkümün beş katmanı</w:t>
      </w:r>
    </w:p>
    <w:p w14:paraId="4C9E1C51" w14:textId="77777777" w:rsidR="008004B8" w:rsidRDefault="00845011">
      <w:pPr>
        <w:pStyle w:val="MdParagraph"/>
      </w:pPr>
      <w:r>
        <w:t xml:space="preserve">Yapay </w:t>
      </w:r>
      <w:proofErr w:type="gramStart"/>
      <w:r>
        <w:t>zeka</w:t>
      </w:r>
      <w:proofErr w:type="gramEnd"/>
      <w:r>
        <w:t xml:space="preserve"> sistemi, tek başına bir model veya algoritmadan ibaret değildir. Verinin toplanması ve sınıflandırılması, bu süreçleri mümkün kılan emek, insanların belirli kategoriler içinde değerlendirilmesi, tasarım tercihlerinin sisteme gömülmesi ve zarar doğduğunda sorumluluğun dağıtılması aynı ekosistemin parçalarıdır. Tahakküm de bu ekosistemin yalnızca nihai çıktısında değil, bütün yaşam döngüsünde üretilebilir. Bu nedenle aşağıda yapay zekayı beş katman üzerinden ele alıyorum: veri ve temsil; görünmeyen </w:t>
      </w:r>
      <w:proofErr w:type="gramStart"/>
      <w:r>
        <w:t>emek;</w:t>
      </w:r>
      <w:proofErr w:type="gramEnd"/>
      <w:r>
        <w:t xml:space="preserve"> sınıflandırma, gözetim ve ölçme; tasarım, değerler ve konumlanma; sorumluluk ve politik ekonomi.</w:t>
      </w:r>
    </w:p>
    <w:p w14:paraId="4C9E1C52" w14:textId="77777777" w:rsidR="008004B8" w:rsidRDefault="008004B8">
      <w:pPr>
        <w:pStyle w:val="MdSpace"/>
        <w:spacing w:after="60"/>
      </w:pPr>
    </w:p>
    <w:p w14:paraId="4C9E1C53" w14:textId="77777777" w:rsidR="008004B8" w:rsidRDefault="00845011">
      <w:pPr>
        <w:pStyle w:val="MdParagraph"/>
      </w:pPr>
      <w:r>
        <w:t>İlk katman veri ve temsildir. Bir veri seti, mevcut gerçekliği olduğu gibi yansıtan pasif bir kayıt değildir. Hangi olayların kayda geçirildiği, kimlerin sisteme dahil edildiği, hangi davranışların “risk” olarak kodlandığı ve hangi deneyimlerin ölçülemez kabul edildiği, veri setinin kendisini kurar. Feminist veri çalışmaları bu noktada verinin kim tarafından, kimin için, hangi amaçla ve hangi iktidar ilişkileri içinde üretildiğini sormayı önerir (</w:t>
      </w:r>
      <w:proofErr w:type="spellStart"/>
      <w:r>
        <w:t>D’Ignazio</w:t>
      </w:r>
      <w:proofErr w:type="spellEnd"/>
      <w:r>
        <w:t xml:space="preserve"> &amp; </w:t>
      </w:r>
      <w:proofErr w:type="spellStart"/>
      <w:r>
        <w:t>Klein</w:t>
      </w:r>
      <w:proofErr w:type="spellEnd"/>
      <w:r>
        <w:t>, 2020).</w:t>
      </w:r>
    </w:p>
    <w:p w14:paraId="4C9E1C54" w14:textId="77777777" w:rsidR="008004B8" w:rsidRDefault="008004B8">
      <w:pPr>
        <w:pStyle w:val="MdSpace"/>
        <w:spacing w:after="60"/>
      </w:pPr>
    </w:p>
    <w:p w14:paraId="4C9E1C55" w14:textId="77777777" w:rsidR="008004B8" w:rsidRDefault="00845011">
      <w:pPr>
        <w:pStyle w:val="MdParagraph"/>
      </w:pPr>
      <w:r>
        <w:t xml:space="preserve">Bu nedenle yapay </w:t>
      </w:r>
      <w:proofErr w:type="gramStart"/>
      <w:r>
        <w:t>zeka</w:t>
      </w:r>
      <w:proofErr w:type="gramEnd"/>
      <w:r>
        <w:t xml:space="preserve"> bakımından ilk soru, verinin yalnızca doğru olup olmadığı değil, kimin deneyimini görünür kıldığı ve kimi görünmez bıraktığıdır. Geçmişte daha yoğun denetlenmiş gruplar hakkında daha fazla veri bulunması, bu grupların kendiliğinden daha “riskli” olduğu anlamına gelmeyebilir; daha çok izlendikleri anlamına gelebilir. Kamu hukuku açısından bu soru doğrudan eşitlik ve temel haklarla ilgilidir.</w:t>
      </w:r>
    </w:p>
    <w:p w14:paraId="4C9E1C56" w14:textId="77777777" w:rsidR="008004B8" w:rsidRDefault="008004B8">
      <w:pPr>
        <w:pStyle w:val="MdSpace"/>
        <w:spacing w:after="60"/>
      </w:pPr>
    </w:p>
    <w:p w14:paraId="4C9E1C57" w14:textId="77777777" w:rsidR="008004B8" w:rsidRDefault="00845011">
      <w:pPr>
        <w:pStyle w:val="MdParagraph"/>
      </w:pPr>
      <w:r>
        <w:t xml:space="preserve">İkinci katman, yapay zekayı mümkün kılan fakat çoğu zaman sistemin dışında bırakılan emektir. Veri etiketleme, içerik denetimi, doğrulama, bakım ve modelin güncellenmesi gibi işler, sistemin “otomatik” görünümünün arkasında kalır. </w:t>
      </w:r>
      <w:proofErr w:type="spellStart"/>
      <w:r>
        <w:t>Gray</w:t>
      </w:r>
      <w:proofErr w:type="spellEnd"/>
      <w:r>
        <w:t xml:space="preserve"> ve </w:t>
      </w:r>
      <w:proofErr w:type="spellStart"/>
      <w:r>
        <w:t>Suri’nin</w:t>
      </w:r>
      <w:proofErr w:type="spellEnd"/>
      <w:r>
        <w:t xml:space="preserve"> “hayalet emek” olarak adlandırdığı bu işler, yapay zekanın insan emeğinden bağımsız çalışmadığını; aksine bu emeğin çoğu zaman küresel tedarik zincirlerinin alt katmanlarına ve güvencesiz çalışanlara aktarıldığını gösterir (</w:t>
      </w:r>
      <w:proofErr w:type="spellStart"/>
      <w:r>
        <w:t>Gray</w:t>
      </w:r>
      <w:proofErr w:type="spellEnd"/>
      <w:r>
        <w:t xml:space="preserve"> &amp; </w:t>
      </w:r>
      <w:proofErr w:type="spellStart"/>
      <w:r>
        <w:t>Suri</w:t>
      </w:r>
      <w:proofErr w:type="spellEnd"/>
      <w:r>
        <w:t>, 2019).</w:t>
      </w:r>
    </w:p>
    <w:p w14:paraId="4C9E1C58" w14:textId="77777777" w:rsidR="008004B8" w:rsidRDefault="008004B8">
      <w:pPr>
        <w:pStyle w:val="MdSpace"/>
        <w:spacing w:after="60"/>
      </w:pPr>
    </w:p>
    <w:p w14:paraId="4C9E1C59" w14:textId="77777777" w:rsidR="008004B8" w:rsidRDefault="00845011">
      <w:pPr>
        <w:pStyle w:val="MdParagraph"/>
      </w:pPr>
      <w:r>
        <w:t>Bu katman, yapay zekaya ilişkin sorumluluğun yalnızca modelin çıktısına bakılarak belirlenemeyeceğini ortaya koyar. Sistemin hangi emek süreçleriyle üretildiği, bu süreçlerde kimlerin çalıştığı ve emeğin hangi koşullarda örgütlendiği de değerlendirilmelidir. Kamu makamı bir sistemi özel bir şirketten satın aldığında sorumluluğunu bütünüyle sağlayıcıya devredemez. Veri üretimi, etiketleme, içerik denetimi, bakım ve güncelleme süreçlerinin kimler tarafından ve hangi standartlarla yürütüldüğünü bilmek, kamu ma</w:t>
      </w:r>
      <w:r>
        <w:t>kamının tedarik ve denetim özeninin bir parçasıdır.</w:t>
      </w:r>
    </w:p>
    <w:p w14:paraId="4C9E1C5A" w14:textId="77777777" w:rsidR="008004B8" w:rsidRDefault="008004B8">
      <w:pPr>
        <w:pStyle w:val="MdSpace"/>
        <w:spacing w:after="60"/>
      </w:pPr>
    </w:p>
    <w:p w14:paraId="4C9E1C5B" w14:textId="77777777" w:rsidR="008004B8" w:rsidRDefault="00845011">
      <w:pPr>
        <w:pStyle w:val="MdParagraph"/>
      </w:pPr>
      <w:r>
        <w:t xml:space="preserve">Üçüncü katman, insanların ve davranışların belirli kategoriler içinde sınıflandırılması, izlenmesi ve ölçülmesidir. Yapay </w:t>
      </w:r>
      <w:proofErr w:type="gramStart"/>
      <w:r>
        <w:t>zeka</w:t>
      </w:r>
      <w:proofErr w:type="gramEnd"/>
      <w:r>
        <w:t xml:space="preserve"> sistemleri kişileri “riskli”, “uygun”, “güvenilir”, “verimli” veya “öncelikli” olarak tanımlayabilir. Ancak bu kategoriler kendiliğinden ve tarafsız biçimde ortaya çıkmaz. Hangi davranışın risk, hangi durumun uygunsuzluk ve hangi performansın başarı olarak kabul edileceği, belirli toplumsal ve kurumsal tercihlere dayanır.</w:t>
      </w:r>
    </w:p>
    <w:p w14:paraId="4C9E1C5C" w14:textId="77777777" w:rsidR="008004B8" w:rsidRDefault="008004B8">
      <w:pPr>
        <w:pStyle w:val="MdSpace"/>
        <w:spacing w:after="60"/>
      </w:pPr>
    </w:p>
    <w:p w14:paraId="4C9E1C5D" w14:textId="77777777" w:rsidR="008004B8" w:rsidRDefault="00845011">
      <w:pPr>
        <w:pStyle w:val="MdParagraph"/>
      </w:pPr>
      <w:proofErr w:type="spellStart"/>
      <w:r>
        <w:lastRenderedPageBreak/>
        <w:t>Crawford’un</w:t>
      </w:r>
      <w:proofErr w:type="spellEnd"/>
      <w:r>
        <w:t xml:space="preserve"> yapay zekayı veriyle birlikte emek, doğal kaynaklar, sermaye, devlet ve güç ilişkileri içinde ele alan yaklaşımı; </w:t>
      </w:r>
      <w:proofErr w:type="spellStart"/>
      <w:r>
        <w:t>Noble’ın</w:t>
      </w:r>
      <w:proofErr w:type="spellEnd"/>
      <w:r>
        <w:t xml:space="preserve"> arama ve sınıflandırma sistemlerinin toplumsal hiyerarşileri yeniden üretebildiğine ilişkin çalışması, bu noktayı görünür kılar (Crawford, 2021; </w:t>
      </w:r>
      <w:proofErr w:type="spellStart"/>
      <w:r>
        <w:t>Noble</w:t>
      </w:r>
      <w:proofErr w:type="spellEnd"/>
      <w:r>
        <w:t>, 2018). Sınıflandırma, yalnızca mevcut farklılıkları kaydetmez; hangi kişilerin daha yakından izleneceğini, kimin daha fazla denetime tabi tutulacağını ve kimin kamu hizmetlerine erişiminin zorlaşacağını da belirleyebilir.</w:t>
      </w:r>
    </w:p>
    <w:p w14:paraId="4C9E1C5E" w14:textId="77777777" w:rsidR="008004B8" w:rsidRDefault="008004B8">
      <w:pPr>
        <w:pStyle w:val="MdSpace"/>
        <w:spacing w:after="60"/>
      </w:pPr>
    </w:p>
    <w:p w14:paraId="4C9E1C5F" w14:textId="5AAD0D36" w:rsidR="008004B8" w:rsidRDefault="00845011">
      <w:pPr>
        <w:pStyle w:val="MdParagraph"/>
      </w:pPr>
      <w:r>
        <w:t>Kamu hizmetleri bakımından bu katman doğrudan kamu gücünün kullanılmasıyla ilgilidir. Bir sistem sosyal yardım başvurularını önceliklendiriyor, bazı kişileri daha yüksek riskli kabul ediyor veya belirli grupları daha yoğun denetime yönlendiriyorsa, ürettiği çıktı “yalnızca tavsiye” olarak adlandırılsa bile karar sürecinin yönünü fiilen belirleyebilir. Bu nedenle hukuk</w:t>
      </w:r>
      <w:r w:rsidR="003D435F">
        <w:t>i</w:t>
      </w:r>
      <w:r>
        <w:t xml:space="preserve"> denetim, sistemin biçimsel olarak nihai kararı verip vermediğiyle sınırlı kalmamalıdır. Sistemin hangi amaçla kullanıldığı, hangi kategorileri kurduğu, bu kategorilerin kimler üzerinde nasıl sonuçlar doğurduğu ve bu sonuçlara karşı hangi başvuru yollarının bulunduğu da incelenmelidir.</w:t>
      </w:r>
    </w:p>
    <w:p w14:paraId="4C9E1C60" w14:textId="77777777" w:rsidR="008004B8" w:rsidRDefault="008004B8">
      <w:pPr>
        <w:pStyle w:val="MdSpace"/>
        <w:spacing w:after="60"/>
      </w:pPr>
    </w:p>
    <w:p w14:paraId="4C9E1C61" w14:textId="77777777" w:rsidR="008004B8" w:rsidRDefault="00845011">
      <w:pPr>
        <w:pStyle w:val="MdParagraph"/>
      </w:pPr>
      <w:r>
        <w:t>Buradaki temel sorun, ölçmenin tarafsız bir gözlem gibi sunulmasıdır. Oysa ölçülen şey, çoğu zaman önceden belirlenmiş bir değer yargısının teknik biçime sokulmuş halidir. Bu nedenle kamu hukuku, sınıflandırmayı yalnızca doğruluk veya verimlilik açısından değil; eşitlik, ölçülülük, ayrımcılık yasağı, gerekçe ve etkili başvuru bakımından da denetlemelidir.</w:t>
      </w:r>
    </w:p>
    <w:p w14:paraId="4C9E1C62" w14:textId="77777777" w:rsidR="008004B8" w:rsidRDefault="008004B8">
      <w:pPr>
        <w:pStyle w:val="MdSpace"/>
        <w:spacing w:after="60"/>
      </w:pPr>
    </w:p>
    <w:p w14:paraId="4C9E1C63" w14:textId="77777777" w:rsidR="008004B8" w:rsidRDefault="00845011">
      <w:pPr>
        <w:pStyle w:val="MdParagraph"/>
      </w:pPr>
      <w:r>
        <w:t xml:space="preserve">Dördüncü katman, yapay </w:t>
      </w:r>
      <w:proofErr w:type="gramStart"/>
      <w:r>
        <w:t>zeka</w:t>
      </w:r>
      <w:proofErr w:type="gramEnd"/>
      <w:r>
        <w:t xml:space="preserve"> sistemlerinin tasarımına gömülen değerler ve tasarım sürecinde alınan konumla ilgilidir. Bir sistemin hangi amaçla geliştirileceği, neyin başarı veya doğruluk sayılacağı, hangi risklerin kabul edilebilir görüleceği ve hangi maliyetlerin göz ardı edileceği teknik zorunluluklar değildir. Bunların her biri, belirli değer tercihlerini ve belirli bir toplumsal bakışı yansıtır.</w:t>
      </w:r>
    </w:p>
    <w:p w14:paraId="4C9E1C64" w14:textId="77777777" w:rsidR="008004B8" w:rsidRDefault="008004B8">
      <w:pPr>
        <w:pStyle w:val="MdSpace"/>
        <w:spacing w:after="60"/>
      </w:pPr>
    </w:p>
    <w:p w14:paraId="4C9E1C65" w14:textId="77777777" w:rsidR="008004B8" w:rsidRDefault="00845011">
      <w:pPr>
        <w:pStyle w:val="MdParagraph"/>
      </w:pPr>
      <w:r>
        <w:t xml:space="preserve">Makine öğrenimi araştırmalarındaki değer tercihlerini inceleyen </w:t>
      </w:r>
      <w:proofErr w:type="spellStart"/>
      <w:r>
        <w:t>Birhane</w:t>
      </w:r>
      <w:proofErr w:type="spellEnd"/>
      <w:r>
        <w:t xml:space="preserve"> ve arkadaşlarının gösterdiği gibi, bu tercihler yalnızca sistemin nihai çıktısında değil, araştırma sorusunun kurulmasından veri setinin seçimine ve performans ölçütünün belirlenmesine kadar sürecin tamamında ortaya çıkar (</w:t>
      </w:r>
      <w:proofErr w:type="spellStart"/>
      <w:r>
        <w:t>Birhane</w:t>
      </w:r>
      <w:proofErr w:type="spellEnd"/>
      <w:r>
        <w:t xml:space="preserve"> et al., 2022). Bu nedenle bir sistemi tasarlayan veya kullanan ekibin kendisini tarafsız ve bağlamdan bağımsız bir konumda görmemesi gerekir. Hangi deneyimlerin normal kabul edildiği, hangi kullanıcıların varsayılan olarak düşünüldüğü ve hangi zararların gözden çıkarıldığı</w:t>
      </w:r>
      <w:r>
        <w:t xml:space="preserve"> açıkça sorgulanmalıdır.</w:t>
      </w:r>
    </w:p>
    <w:p w14:paraId="4C9E1C66" w14:textId="77777777" w:rsidR="008004B8" w:rsidRDefault="008004B8">
      <w:pPr>
        <w:pStyle w:val="MdSpace"/>
        <w:spacing w:after="60"/>
      </w:pPr>
    </w:p>
    <w:p w14:paraId="4C9E1C67" w14:textId="77777777" w:rsidR="008004B8" w:rsidRDefault="00845011">
      <w:pPr>
        <w:pStyle w:val="MdParagraph"/>
      </w:pPr>
      <w:proofErr w:type="spellStart"/>
      <w:r>
        <w:t>Costanza-Chock’un</w:t>
      </w:r>
      <w:proofErr w:type="spellEnd"/>
      <w:r>
        <w:t xml:space="preserve"> tasarım adaleti yaklaşımı da adaletin yalnızca sistem tamamlandıktan sonra sonuçlar üzerinde yapılacak bir incelemeyle sağlanamayacağını hatırlatır (</w:t>
      </w:r>
      <w:proofErr w:type="spellStart"/>
      <w:r>
        <w:t>Costanza-Chock</w:t>
      </w:r>
      <w:proofErr w:type="spellEnd"/>
      <w:r>
        <w:t>, 2018). Tasarım sürecinde sistemden etkilenebilecek kişilerin bilgisi, deneyimi ve itirazı dikkate alınmalıdır. Buradaki amaç, bütün kararları etkilenen gruplara devretmek değildir; hangi sorunların çözüleceği, hangi kategorilerin kullanılacağı ve hangi sonuçların kabul edilebilir sayılacağı belirlenirken bu kişileri yalnızca veri sağlayıcısı ve</w:t>
      </w:r>
      <w:r>
        <w:t>ya pasif kullanıcı olarak görmemektir.</w:t>
      </w:r>
    </w:p>
    <w:p w14:paraId="4C9E1C68" w14:textId="77777777" w:rsidR="008004B8" w:rsidRDefault="008004B8">
      <w:pPr>
        <w:pStyle w:val="MdSpace"/>
        <w:spacing w:after="60"/>
      </w:pPr>
    </w:p>
    <w:p w14:paraId="4C9E1C69" w14:textId="77777777" w:rsidR="008004B8" w:rsidRDefault="00845011">
      <w:pPr>
        <w:pStyle w:val="MdParagraph"/>
      </w:pPr>
      <w:r>
        <w:t xml:space="preserve">Kamu hukuku bakımından bu katman, tasarım ve tedarik kararlarının gerekçelendirilmesini gerektirir. Kamu makamı veya onun adına hareket eden özel bir sağlayıcı, sistemi hangi amaçla kurduğunu, hangi değerleri öncelediğini, hangi gruplar bakımından ne tür riskler öngördüğünü ve bu riskleri nasıl yöneteceğini belgeleyebilmelidir. Her teknik ayrıntının veya kaynak kodunun açıklanması gerekmeyebilir; ancak sistemin normatif tercihlerinin bütünüyle </w:t>
      </w:r>
      <w:r>
        <w:lastRenderedPageBreak/>
        <w:t>gizli kalması da kabul edilemez. Bu nedenle temel haklar etki değerlendirmesi, modelin çalışıp çalışmadığı sorusunun yanında, hangi dünyayı kurduğu ve bu dünyaya kimin karar verdiği sorusunu da sormalıdır.</w:t>
      </w:r>
    </w:p>
    <w:p w14:paraId="4C9E1C6A" w14:textId="77777777" w:rsidR="008004B8" w:rsidRDefault="008004B8">
      <w:pPr>
        <w:pStyle w:val="MdSpace"/>
        <w:spacing w:after="60"/>
      </w:pPr>
    </w:p>
    <w:p w14:paraId="4C9E1C6B" w14:textId="77777777" w:rsidR="008004B8" w:rsidRDefault="00845011">
      <w:pPr>
        <w:pStyle w:val="MdParagraph"/>
      </w:pPr>
      <w:r>
        <w:t xml:space="preserve">Beşinci katman, yapay </w:t>
      </w:r>
      <w:proofErr w:type="gramStart"/>
      <w:r>
        <w:t>zeka</w:t>
      </w:r>
      <w:proofErr w:type="gramEnd"/>
      <w:r>
        <w:t xml:space="preserve"> sistemlerinin hangi ekonomik ve kurumsal ilişkiler içinde üretildiği ve zarar doğduğunda sorumluluğun nasıl dağıtıldığıyla ilgilidir. Yapay </w:t>
      </w:r>
      <w:proofErr w:type="gramStart"/>
      <w:r>
        <w:t>zeka</w:t>
      </w:r>
      <w:proofErr w:type="gramEnd"/>
      <w:r>
        <w:t xml:space="preserve"> çoğu zaman tek bir aktörün ürünü değildir. Veri sağlayıcıları, veri etiketleyen çalışanlar, model geliştiricileri, sistem sağlayıcıları, kamu kurumları, tedarikçiler ve hizmeti kullanan birimler aynı zincirin farklı halkalarında yer alır. Bu çok aktörlü yapı, sistemin nasıl çalıştığını ve ortaya çıkan zarardan kimin sorumlu olduğunu belirlemeyi zorlaştırabilir</w:t>
      </w:r>
      <w:r>
        <w:t>. Her aktör yalnızca kendi rolüne işaret ettiğinde, sorumluluk zincirinin bütünü görünmez hale gelebilir.</w:t>
      </w:r>
    </w:p>
    <w:p w14:paraId="4C9E1C6C" w14:textId="77777777" w:rsidR="008004B8" w:rsidRDefault="008004B8">
      <w:pPr>
        <w:pStyle w:val="MdSpace"/>
        <w:spacing w:after="60"/>
      </w:pPr>
    </w:p>
    <w:p w14:paraId="4C9E1C6D" w14:textId="77777777" w:rsidR="008004B8" w:rsidRDefault="00845011">
      <w:pPr>
        <w:pStyle w:val="MdParagraph"/>
      </w:pPr>
      <w:r>
        <w:t xml:space="preserve">Bu nedenle algoritmik hesap verebilirlik literatürü, sorumluluğu yalnızca bir ihlal gerçekleştikten sonra uygulanacak yaptırım olarak ele almaz. Hesap verebilirlik; sistemin kurulmasından kullanımına, izlenmesinden güncellenmesine ve zarar doğduğunda telafi edilmesine kadar bütün yaşam döngüsüne yayılan bir yükümlülük olarak düşünülmelidir. McGregor, </w:t>
      </w:r>
      <w:proofErr w:type="spellStart"/>
      <w:r>
        <w:t>Murray</w:t>
      </w:r>
      <w:proofErr w:type="spellEnd"/>
      <w:r>
        <w:t xml:space="preserve"> ve Ng’nin insan hakları temelli yaklaşımı da algoritmik hesap verebilirliği kamu makamlarıyla sınırlamayıp, özel aktörlerin faaliyetlerini ve devletin bu aktörler karşısındaki koruma yükümlülüğünü birlikte ele alır (McGregor, </w:t>
      </w:r>
      <w:proofErr w:type="spellStart"/>
      <w:r>
        <w:t>Murray</w:t>
      </w:r>
      <w:proofErr w:type="spellEnd"/>
      <w:r>
        <w:t>, &amp; Ng, 2019).</w:t>
      </w:r>
    </w:p>
    <w:p w14:paraId="4C9E1C6E" w14:textId="77777777" w:rsidR="008004B8" w:rsidRDefault="008004B8">
      <w:pPr>
        <w:pStyle w:val="MdSpace"/>
        <w:spacing w:after="60"/>
      </w:pPr>
    </w:p>
    <w:p w14:paraId="4C9E1C6F" w14:textId="38E06F2C" w:rsidR="008004B8" w:rsidRDefault="00845011">
      <w:pPr>
        <w:pStyle w:val="MdParagraph"/>
      </w:pPr>
      <w:r>
        <w:t xml:space="preserve">Bu katmanın politik ekonomi boyutu da burada ortaya çıkar. Yapay </w:t>
      </w:r>
      <w:proofErr w:type="gramStart"/>
      <w:r>
        <w:t>zeka</w:t>
      </w:r>
      <w:proofErr w:type="gramEnd"/>
      <w:r>
        <w:t xml:space="preserve"> alanında veri, hesaplama kapasitesi, uzmanlık, altyapı ve fikr</w:t>
      </w:r>
      <w:r w:rsidR="003D435F">
        <w:t>i</w:t>
      </w:r>
      <w:r>
        <w:t xml:space="preserve"> mülkiyet belirli şirketlerde yoğunlaşırken, kamu kurumları çoğu zaman bu şirketlerin sunduğu teknik sistemlere ve bilgilerine bağımlı hale gelir. Böyle bir bağımlılık, kamu makamının sistemi gerçekten denetleyebilmesini ve kişiye anlaşılabilir bir gerekçe sunabilmesini zorlaştırabilir. Özel şirketlerin ticari sır veya teknik uzmanlık iddiaları, kamu gücüyle birleşen bir sistemin denetlenemez hale gelmesi için sınırsız bir gerekçe oluşturamaz.</w:t>
      </w:r>
    </w:p>
    <w:p w14:paraId="4C9E1C70" w14:textId="77777777" w:rsidR="008004B8" w:rsidRDefault="008004B8">
      <w:pPr>
        <w:pStyle w:val="MdSpace"/>
        <w:spacing w:after="60"/>
      </w:pPr>
    </w:p>
    <w:p w14:paraId="4C9E1C71" w14:textId="77777777" w:rsidR="008004B8" w:rsidRDefault="00845011">
      <w:pPr>
        <w:pStyle w:val="MdParagraph"/>
      </w:pPr>
      <w:r>
        <w:t>Kamu hukuku bakımından sonuç açıktır: Bir sistemin özel bir şirket tarafından geliştirilmiş olması, kamu makamının sorumluluğunu ortadan kaldırmaz; kamu makamının sistemi hiç anlamadan kullanması da sorumluluğu sağlayıcıya devretmez. Devlet, özel teknoloji şirketlerinin temel haklar üzerindeki etkisini düzenlemek ve denetlemekle yükümlüdür. Kamu makamı ise tedarik, sözleşme, veri paylaşımı, modelin güncellenmesi, kullanımın izlenmesi ve zararların giderilmesi aşamalarında sorumluluk zincirini görünür tutmal</w:t>
      </w:r>
      <w:r>
        <w:t>ıdır. Kişi bakımından önemli olan, zararın hangi şirket içindeki hangi teknik aşamada doğduğu değil; hak ihlaline karşı kime, nasıl ve hangi sürede başvurabileceğinin açık olmasıdır.</w:t>
      </w:r>
    </w:p>
    <w:p w14:paraId="4C9E1C72" w14:textId="77777777" w:rsidR="008004B8" w:rsidRDefault="008004B8">
      <w:pPr>
        <w:pStyle w:val="MdSpace"/>
        <w:spacing w:after="60"/>
      </w:pPr>
    </w:p>
    <w:p w14:paraId="4C9E1C73" w14:textId="77777777" w:rsidR="008004B8" w:rsidRDefault="00845011">
      <w:pPr>
        <w:pStyle w:val="MdParagraph"/>
      </w:pPr>
      <w:r>
        <w:t xml:space="preserve">Bu beş katman, yapay zekada adalet sorunlarının yalnızca teknik performansla açıklanamayacağını gösterir. Ticari yüz analiz sistemleri üzerine yapılan ampirik çalışma, cilt tonu ve cinsiyet sınıflandırmasının kesişiminde ortaya çıkan hata farklarını görünür kılmıştır. En yüksek yanlış sınıflandırma oranlarının koyu tenli kadınlarda, en düşük oranların ise açık tenli erkeklerde görülmesi, genel grup karşılaştırmalarının kesişen zararları kendiliğinden açıklayamadığını göstermektedir. Bu bulgu, yapay </w:t>
      </w:r>
      <w:proofErr w:type="gramStart"/>
      <w:r>
        <w:t>zeka</w:t>
      </w:r>
      <w:proofErr w:type="gramEnd"/>
      <w:r>
        <w:t xml:space="preserve"> sistemlerinde kimin görünür, kimin hataya açık ve kimin korunmaya değer bir özne olarak kurulduğu sorusunu gündeme getirir (</w:t>
      </w:r>
      <w:proofErr w:type="spellStart"/>
      <w:r>
        <w:t>Buolamwini</w:t>
      </w:r>
      <w:proofErr w:type="spellEnd"/>
      <w:r>
        <w:t xml:space="preserve"> &amp; </w:t>
      </w:r>
      <w:proofErr w:type="spellStart"/>
      <w:r>
        <w:t>Gebru</w:t>
      </w:r>
      <w:proofErr w:type="spellEnd"/>
      <w:r>
        <w:t>, 2018).</w:t>
      </w:r>
    </w:p>
    <w:p w14:paraId="4C9E1C74" w14:textId="77777777" w:rsidR="008004B8" w:rsidRDefault="008004B8">
      <w:pPr>
        <w:pStyle w:val="MdSpace"/>
        <w:spacing w:after="60"/>
      </w:pPr>
    </w:p>
    <w:p w14:paraId="4C9E1C75" w14:textId="77777777" w:rsidR="008004B8" w:rsidRDefault="00845011">
      <w:pPr>
        <w:pStyle w:val="MdParagraph"/>
      </w:pPr>
      <w:r>
        <w:t xml:space="preserve">Ancak farklı gruplar arasındaki hata oranlarını tespit etmek, adalet sorununu tek başına çözmez. Yalnızca alt gruplar arasındaki istatistiksel farkları azaltmak, bu farkları üreten güç </w:t>
      </w:r>
      <w:r>
        <w:lastRenderedPageBreak/>
        <w:t xml:space="preserve">ilişkilerini, hangi grupların ölçüme dahil edildiğini ve zarar gören kişilerin karar süreçlerine ne ölçüde katılabildiğini görünmez bırakabilir. Bu nedenle algoritmik adalet; metriklerin yanı sıra bağlamı, kurumsal gücü, topluluk katılımını ve etkili itiraz ve telafi imkanlarını da kapsamalıdır (Kong, 2022; </w:t>
      </w:r>
      <w:proofErr w:type="spellStart"/>
      <w:r>
        <w:t>Selbst</w:t>
      </w:r>
      <w:proofErr w:type="spellEnd"/>
      <w:r>
        <w:t xml:space="preserve"> et al., 2019).</w:t>
      </w:r>
    </w:p>
    <w:p w14:paraId="4C9E1C76" w14:textId="77777777" w:rsidR="008004B8" w:rsidRDefault="008004B8">
      <w:pPr>
        <w:pStyle w:val="MdSpace"/>
        <w:spacing w:after="60"/>
      </w:pPr>
    </w:p>
    <w:p w14:paraId="4C9E1C78" w14:textId="0C4CABE9" w:rsidR="008004B8" w:rsidRDefault="00845011" w:rsidP="00F20C95">
      <w:pPr>
        <w:pStyle w:val="MdParagraph"/>
      </w:pPr>
      <w:r>
        <w:t xml:space="preserve">Bu sonuç, yapay </w:t>
      </w:r>
      <w:proofErr w:type="gramStart"/>
      <w:r>
        <w:t>zeka</w:t>
      </w:r>
      <w:proofErr w:type="gramEnd"/>
      <w:r>
        <w:t xml:space="preserve"> adaletini kamu hukukuna bağlayan temel noktayı oluşturur. Hukuk</w:t>
      </w:r>
      <w:r w:rsidR="003D435F">
        <w:t>i</w:t>
      </w:r>
      <w:r>
        <w:t xml:space="preserve"> denetim, yalnızca modelin farklı gruplar bakımından aynı hata oranına ulaşıp ulaşmadığını sormamalıdır. Sistemin hangi amaçla kurulduğu, hangi kategorileri kullandığı, kimleri dışarıda bıraktığı, kimler üzerinde daha ağır sonuçlar doğurduğu ve bu sonuçlara karşı hangi başvuru yollarının bulunduğu da incelenmelidir.</w:t>
      </w:r>
    </w:p>
    <w:p w14:paraId="4C9E1C79" w14:textId="67AC9B6F" w:rsidR="008004B8" w:rsidRDefault="00845011">
      <w:pPr>
        <w:pStyle w:val="MdHeading2"/>
      </w:pPr>
      <w:r>
        <w:t xml:space="preserve">4. Kamu hukuku bakımından yapay </w:t>
      </w:r>
      <w:proofErr w:type="gramStart"/>
      <w:r>
        <w:t>zek</w:t>
      </w:r>
      <w:r w:rsidR="008A25EF">
        <w:t>a</w:t>
      </w:r>
      <w:proofErr w:type="gramEnd"/>
      <w:r>
        <w:t>: Kamu gücü, özel teknoloji ve temel haklar</w:t>
      </w:r>
    </w:p>
    <w:p w14:paraId="4C9E1C7A" w14:textId="77777777" w:rsidR="008004B8" w:rsidRDefault="00845011">
      <w:pPr>
        <w:pStyle w:val="MdParagraph"/>
      </w:pPr>
      <w:r>
        <w:t>B</w:t>
      </w:r>
      <w:r>
        <w:t xml:space="preserve">u beş katman, yapay zekada adalet sorununun yalnızca teknik performansla açıklanamayacağını gösterir. Yapay </w:t>
      </w:r>
      <w:proofErr w:type="gramStart"/>
      <w:r>
        <w:t>zeka</w:t>
      </w:r>
      <w:proofErr w:type="gramEnd"/>
      <w:r>
        <w:t xml:space="preserve"> sistemleri farklı toplumsal gruplar bakımından aynı doğruluk oranına ulaşsa bile, bu durum sistemin adil olduğu anlamına gelmeyebilir. Çünkü adalet sorusu yalnızca hata oranlarının nasıl dağıldığıyla değil, hangi grupların ölçüme dahil edildiği, hangi deneyimlerin veri olarak kabul edildiği ve ortaya çıkan zarara kimin itiraz edebildiğiyle de ilgilidir.</w:t>
      </w:r>
    </w:p>
    <w:p w14:paraId="4C9E1C7B" w14:textId="77777777" w:rsidR="008004B8" w:rsidRDefault="008004B8">
      <w:pPr>
        <w:pStyle w:val="MdSpace"/>
        <w:spacing w:after="60"/>
      </w:pPr>
    </w:p>
    <w:p w14:paraId="4C9E1C7C" w14:textId="77777777" w:rsidR="008004B8" w:rsidRDefault="00845011">
      <w:pPr>
        <w:pStyle w:val="MdParagraph"/>
      </w:pPr>
      <w:r>
        <w:t xml:space="preserve">Bu noktayı somutlaştıran örneklerden biri, </w:t>
      </w:r>
      <w:proofErr w:type="spellStart"/>
      <w:r>
        <w:t>Buolamwini</w:t>
      </w:r>
      <w:proofErr w:type="spellEnd"/>
      <w:r>
        <w:t xml:space="preserve"> ve </w:t>
      </w:r>
      <w:proofErr w:type="spellStart"/>
      <w:r>
        <w:t>Gebru’nun</w:t>
      </w:r>
      <w:proofErr w:type="spellEnd"/>
      <w:r>
        <w:t xml:space="preserve"> yüz analiz sistemleri üzerine yaptığı çalışmadır. Çalışmada cilt tonu ve cinsiyet sınıflandırmasının kesişiminde belirgin hata farkları görülmüş; en yüksek yanlış sınıflandırma oranlarının koyu tenli kadınlarda, en düşük oranların ise açık tenli erkeklerde ortaya çıktığı tespit edilmiştir. Bu bulgu, “kadınlar” ve “erkekler” ya da farklı cilt tonu grupları arasındaki genel performans karşılaştırmalarının, kesişen zararları kendiliğinden görünür kılmadığını gösterir (</w:t>
      </w:r>
      <w:proofErr w:type="spellStart"/>
      <w:r>
        <w:t>Buolamwini</w:t>
      </w:r>
      <w:proofErr w:type="spellEnd"/>
      <w:r>
        <w:t xml:space="preserve"> &amp; </w:t>
      </w:r>
      <w:proofErr w:type="spellStart"/>
      <w:r>
        <w:t>Gebru</w:t>
      </w:r>
      <w:proofErr w:type="spellEnd"/>
      <w:r>
        <w:t>, 2018).</w:t>
      </w:r>
    </w:p>
    <w:p w14:paraId="4C9E1C7D" w14:textId="77777777" w:rsidR="008004B8" w:rsidRDefault="008004B8">
      <w:pPr>
        <w:pStyle w:val="MdSpace"/>
        <w:spacing w:after="60"/>
      </w:pPr>
    </w:p>
    <w:p w14:paraId="4C9E1C7E" w14:textId="77777777" w:rsidR="008004B8" w:rsidRDefault="00845011">
      <w:pPr>
        <w:pStyle w:val="MdParagraph"/>
      </w:pPr>
      <w:r>
        <w:t>Ancak farklı gruplar arasındaki hata oranlarını tespit etmek, adalet sorununu tek başına çözmez. Kong’un da vurguladığı üzere, adaleti yalnızca istatistiksel eşitlik üzerinden kurmak; bu eşitsizlikleri üreten güç ilişkilerini, hangi grupların ölçüme dahil edileceğine kimin karar verdiğini ve zarar gören kişilerin süreçlere ne ölçüde katılabildiğini görünmez bırakabilir (Kong, 2022). Bu nedenle algoritmik adalet, teknik metriklerin yanı sıra toplumsal bağlamı, kurumsal gücü, katılımı, tanınmayı ve telafiyi d</w:t>
      </w:r>
      <w:r>
        <w:t>e kapsamalıdır.</w:t>
      </w:r>
    </w:p>
    <w:p w14:paraId="4C9E1C7F" w14:textId="77777777" w:rsidR="008004B8" w:rsidRDefault="008004B8">
      <w:pPr>
        <w:pStyle w:val="MdSpace"/>
        <w:spacing w:after="60"/>
      </w:pPr>
    </w:p>
    <w:p w14:paraId="4C9E1C80" w14:textId="4510A2D6" w:rsidR="008004B8" w:rsidRDefault="00845011">
      <w:pPr>
        <w:pStyle w:val="MdParagraph"/>
      </w:pPr>
      <w:r>
        <w:t xml:space="preserve">Bu sonuç, yapay </w:t>
      </w:r>
      <w:proofErr w:type="gramStart"/>
      <w:r>
        <w:t>zeka</w:t>
      </w:r>
      <w:proofErr w:type="gramEnd"/>
      <w:r>
        <w:t xml:space="preserve"> adaletini kamu hukukuna bağlayan temel noktayı oluşturur. Hukuk</w:t>
      </w:r>
      <w:r w:rsidR="003D435F">
        <w:t>i</w:t>
      </w:r>
      <w:r>
        <w:t xml:space="preserve"> denetim, yalnızca modelin farklı gruplar bakımından benzer hata oranlarına ulaşıp ulaşmadığını sormamalıdır. Sistemin hangi amaçla kurulduğu, hangi kategorileri kullandığı, kimleri dışarıda bıraktığı, kimler üzerinde daha ağır sonuçlar doğurduğu ve bu sonuçlara karşı hangi başvuru yollarının bulunduğu da incelenmelidir. Böyle bir denetim, algoritmik adaleti teknik bir performans ölçümünden çıkararak insan hakları, katılım ve sorumluluk meselesi haline getirir.</w:t>
      </w:r>
    </w:p>
    <w:p w14:paraId="4C9E1C81" w14:textId="77777777" w:rsidR="008004B8" w:rsidRDefault="008004B8">
      <w:pPr>
        <w:pStyle w:val="MdSpace"/>
        <w:spacing w:after="60"/>
      </w:pPr>
    </w:p>
    <w:p w14:paraId="4C9E1C82" w14:textId="07109F02" w:rsidR="008004B8" w:rsidRDefault="00845011">
      <w:pPr>
        <w:pStyle w:val="MdParagraph"/>
      </w:pPr>
      <w:r>
        <w:t xml:space="preserve">Bu noktada kamu hukukuna ilişkin soru belirginleşir: Yapay </w:t>
      </w:r>
      <w:proofErr w:type="gramStart"/>
      <w:r>
        <w:t>zeka</w:t>
      </w:r>
      <w:proofErr w:type="gramEnd"/>
      <w:r>
        <w:t xml:space="preserve"> sistemlerinin ürettiği veya derinleştirdiği eşitsizlikler karşısında devletin ve özel teknoloji şirketlerinin sorumluluğu hangi hukuk</w:t>
      </w:r>
      <w:r w:rsidR="003D435F">
        <w:t>i</w:t>
      </w:r>
      <w:r>
        <w:t xml:space="preserve"> güvencelerle kurulacaktır? Bu soruya cevap verebilmek için kamu hukukunu </w:t>
      </w:r>
      <w:r>
        <w:lastRenderedPageBreak/>
        <w:t xml:space="preserve">yalnızca idarenin tekil kararlarını sonradan denetleyen bir alan olarak değil, yapay </w:t>
      </w:r>
      <w:proofErr w:type="gramStart"/>
      <w:r>
        <w:t>zeka</w:t>
      </w:r>
      <w:proofErr w:type="gramEnd"/>
      <w:r>
        <w:t xml:space="preserve"> ekosistemindeki kamu ve özel güç ilişkilerini temel haklar bakımından düzenleyen daha geniş bir çerçeve olarak düşünmemiz gerekir.</w:t>
      </w:r>
    </w:p>
    <w:p w14:paraId="4C9E1C83" w14:textId="77777777" w:rsidR="008004B8" w:rsidRDefault="008004B8">
      <w:pPr>
        <w:pStyle w:val="MdSpace"/>
        <w:spacing w:after="60"/>
      </w:pPr>
    </w:p>
    <w:p w14:paraId="4C9E1C84" w14:textId="508524D2" w:rsidR="008004B8" w:rsidRDefault="00845011">
      <w:pPr>
        <w:pStyle w:val="MdParagraph"/>
      </w:pPr>
      <w:r>
        <w:t xml:space="preserve">Yapay </w:t>
      </w:r>
      <w:proofErr w:type="gramStart"/>
      <w:r>
        <w:t>zeka</w:t>
      </w:r>
      <w:proofErr w:type="gramEnd"/>
      <w:r>
        <w:t xml:space="preserve"> ve veri temelli sınıflandırmanın insan hakları bakımından doğurabileceği sonuçları görmek için Hollanda’daki çocuk bakımı yardımı vakası önemli bir örnek sunmaktadır. Hollanda vergi makamları, çocuk bakımı yardımına başvuran kişiler arasında yanlışlık veya hile ihtimali taşıdığı düşünülen başvuruları erken tespit etmek amacıyla bir risk sınıflandırma sistemi kullanmış; başvuru sahibinin vatandaşlığı da risk değerlendirmesinde dikkate alınan unsurlardan biri haline gelmiştir. Böylece vatandaşlık bilgisi</w:t>
      </w:r>
      <w:r>
        <w:t>, yalnızca kişinin hukuk</w:t>
      </w:r>
      <w:r w:rsidR="003D435F">
        <w:t>i</w:t>
      </w:r>
      <w:r>
        <w:t xml:space="preserve"> statüsünü belirleyen bir veri olmaktan çıkarak hile ve güvensizlik şüphesini artıran bir göstergeye dönüşmüştür. Uluslararası insan hakları incelemeleri, bu uygulamanın ayrımcılık ve ırksal profilleme sonuçları doğurduğunu ortaya koymuştur. </w:t>
      </w:r>
      <w:r>
        <w:rPr>
          <w:rStyle w:val="DipnotBavurusu"/>
        </w:rPr>
        <w:footnoteReference w:id="2"/>
      </w:r>
    </w:p>
    <w:p w14:paraId="4C9E1C85" w14:textId="77777777" w:rsidR="008004B8" w:rsidRDefault="008004B8">
      <w:pPr>
        <w:pStyle w:val="MdSpace"/>
        <w:spacing w:after="60"/>
      </w:pPr>
    </w:p>
    <w:p w14:paraId="4C9E1C86" w14:textId="4E14BC70" w:rsidR="008004B8" w:rsidRDefault="00845011">
      <w:pPr>
        <w:pStyle w:val="MdParagraph"/>
      </w:pPr>
      <w:r>
        <w:t>Bu vakayı yalnızca yanlış çalışan bir teknik sistemin örneği olarak görmek yetersizdir. Hollanda Parlamentosu’nun soruşturma raporu, çocuk bakımı yardımının uygulanmasında hukuk devletinin temel ilkelerinin ihlal edildiğini ortaya koymuştur. Sert dolandırıcılıkla mücadele politikası, grup temelli uygulama ve “ya hep ya hiç” yaklaşımı, bireysel durumların dikkate alınmasını büyük ölçüde engellemiş; çok sayıda ebeveyn, kötü niyetli bir dolandırıcı oldukları varsayımıyla işlem görmüş ve idar</w:t>
      </w:r>
      <w:r w:rsidR="003D435F">
        <w:t>i</w:t>
      </w:r>
      <w:r>
        <w:t xml:space="preserve"> hatalar ağır mal</w:t>
      </w:r>
      <w:r w:rsidR="003D435F">
        <w:t>i</w:t>
      </w:r>
      <w:r>
        <w:t xml:space="preserve"> sonuçlara dönüşmüştür. Vatandaşlık, göçmenlik, ekonomik kırılganlık ve aile sorumlulukları burada tek tek değil, birbiriyle kesişen toplumsal konumlar içinde etkili olmuştur. Bu nedenle mesele basitçe bir sınıflandırma hatası değil, belirli kişilerin kamusal yardım rejimi içinde baştan şüpheli ve daha yoğun denetime tabi özneler olarak kurulmasıdır. </w:t>
      </w:r>
      <w:r>
        <w:rPr>
          <w:rStyle w:val="DipnotBavurusu"/>
        </w:rPr>
        <w:footnoteReference w:id="3"/>
      </w:r>
    </w:p>
    <w:p w14:paraId="4C9E1C87" w14:textId="77777777" w:rsidR="008004B8" w:rsidRDefault="008004B8">
      <w:pPr>
        <w:pStyle w:val="MdSpace"/>
        <w:spacing w:after="60"/>
      </w:pPr>
    </w:p>
    <w:p w14:paraId="4C9E1C88" w14:textId="4987020A" w:rsidR="008004B8" w:rsidRDefault="00845011">
      <w:pPr>
        <w:pStyle w:val="MdParagraph"/>
      </w:pPr>
      <w:r>
        <w:t>Hollanda örneği, sorumluluğun yalnızca algoritmayı kullanan kuruma veya yazılımı geliştiren şirkete ayrı ayrı yüklenemeyeceğini gösterir. Hak ihlali; veri seçimi, risk kategorilerinin kurulması, siyas</w:t>
      </w:r>
      <w:r w:rsidR="003D435F">
        <w:t>i</w:t>
      </w:r>
      <w:r>
        <w:t xml:space="preserve"> ve idar</w:t>
      </w:r>
      <w:r w:rsidR="003D435F">
        <w:t>i</w:t>
      </w:r>
      <w:r>
        <w:t xml:space="preserve"> tercihler, kurumsal bilgi akışı, yargısal koruma ve giderim mekanizmalarının birlikte işlediği bir süreçte ortaya çıkmıştır. Aynı nedenle, özel teknoloji şirketlerinin geliştirdiği sistemlerin kamu hizmetlerinde veya çalışma hayatı, kredi, sağlık ve eğitim gibi alanlarda kullanılması, bu faaliyetlerin temel haklar bakımından hukuk</w:t>
      </w:r>
      <w:r w:rsidR="003D435F">
        <w:t>i</w:t>
      </w:r>
      <w:r>
        <w:t xml:space="preserve"> güvenceler dışında kalmasını haklı göstermez. Buradaki mesele her özel şirket faaliyetini idar</w:t>
      </w:r>
      <w:r w:rsidR="003D435F">
        <w:t>i</w:t>
      </w:r>
      <w:r>
        <w:t xml:space="preserve"> faaliyet saymak değil; kamu ve özel teknolojik gücün kesiştiği yerde devletin düzenleme, denetleme ve koruma yükümlülüğünü kurmaktır. Bu vaka, bizi yalnızca zarar doğduktan sonra başvurulabilecek yolları değil, sistem kurulmadan önce yapılacak haklar ve eşitlik değerlendirmelerini de düşünmeye zorlamaktadır.</w:t>
      </w:r>
    </w:p>
    <w:p w14:paraId="4C9E1C89" w14:textId="77777777" w:rsidR="008004B8" w:rsidRDefault="008004B8">
      <w:pPr>
        <w:pStyle w:val="MdSpace"/>
        <w:spacing w:after="60"/>
      </w:pPr>
    </w:p>
    <w:p w14:paraId="4C9E1C8A" w14:textId="77777777" w:rsidR="008004B8" w:rsidRDefault="00845011">
      <w:pPr>
        <w:pStyle w:val="MdHeading2"/>
      </w:pPr>
      <w:r>
        <w:t>5. İnsan haklarını güvence altına almak</w:t>
      </w:r>
    </w:p>
    <w:p w14:paraId="4C9E1C8B" w14:textId="75CF3D15" w:rsidR="008004B8" w:rsidRDefault="00845011">
      <w:pPr>
        <w:pStyle w:val="MdParagraph"/>
      </w:pPr>
      <w:r>
        <w:t xml:space="preserve">Hollanda çocuk yardımı vakası, yapay </w:t>
      </w:r>
      <w:proofErr w:type="gramStart"/>
      <w:r>
        <w:t>zeka</w:t>
      </w:r>
      <w:proofErr w:type="gramEnd"/>
      <w:r>
        <w:t xml:space="preserve"> ve veri temelli sınıflandırmanın yalnızca teknik bir doğruluk meselesi olmadığını göstermektedir. Risk kategorilerinin nasıl kurulduğu, bu kategorilerin kimler üzerinde ağırlaştığı, karar süreçlerinin ne ölçüde görünür olduğu ve zarar </w:t>
      </w:r>
      <w:r>
        <w:lastRenderedPageBreak/>
        <w:t>gören kişilerin hangi başvuru yollarına sahip bulunduğu, doğrudan insan hakları meselesidir. Bu nedenle ihtiyaç duyulan hukuk</w:t>
      </w:r>
      <w:r w:rsidR="003D435F">
        <w:t>i</w:t>
      </w:r>
      <w:r>
        <w:t xml:space="preserve"> çerçeve, hak ihlalini yalnızca ortaya çıktıktan sonra tespit eden ve bireysel mağdurun itirazına bırakan bir yapı olmamalıdır. Sistem daha kurulmadan önce başlamalı, kullanım süresince devam etmeli ve zarar doğduğunda etkili giderim sağlamalıdır.</w:t>
      </w:r>
    </w:p>
    <w:p w14:paraId="4C9E1C8C" w14:textId="77777777" w:rsidR="008004B8" w:rsidRDefault="008004B8">
      <w:pPr>
        <w:pStyle w:val="MdSpace"/>
        <w:spacing w:after="60"/>
      </w:pPr>
    </w:p>
    <w:p w14:paraId="4C9E1C8D" w14:textId="58733142" w:rsidR="008004B8" w:rsidRDefault="00845011">
      <w:pPr>
        <w:pStyle w:val="MdParagraph"/>
      </w:pPr>
      <w:r>
        <w:t xml:space="preserve">Bu yönde bazı önemli düzenleme ve uygulama örnekleri bulunmaktadır. Avrupa Birliği Yapay </w:t>
      </w:r>
      <w:proofErr w:type="gramStart"/>
      <w:r>
        <w:t>Zeka</w:t>
      </w:r>
      <w:proofErr w:type="gramEnd"/>
      <w:r>
        <w:t xml:space="preserve"> Tüzüğü, belirli yüksek riskli sistemler bakımından temel haklar etki değerlendirmesini öngörerek değerlendirmeyi sistemin kullanımından önceki aşamaya taşımaktadır. Kanada federal yönetiminde kullanılan </w:t>
      </w:r>
      <w:proofErr w:type="spellStart"/>
      <w:r>
        <w:t>Algorithmic</w:t>
      </w:r>
      <w:proofErr w:type="spellEnd"/>
      <w:r>
        <w:t xml:space="preserve"> </w:t>
      </w:r>
      <w:proofErr w:type="spellStart"/>
      <w:r>
        <w:t>Impact</w:t>
      </w:r>
      <w:proofErr w:type="spellEnd"/>
      <w:r>
        <w:t xml:space="preserve"> </w:t>
      </w:r>
      <w:proofErr w:type="spellStart"/>
      <w:r>
        <w:t>Assessment</w:t>
      </w:r>
      <w:proofErr w:type="spellEnd"/>
      <w:r>
        <w:t xml:space="preserve"> aracı ise eşitlikten yoksun bırakılmış grupları, engelli kişileri, kesişimsel kimlik faktörlerini, istişareyi, </w:t>
      </w:r>
      <w:proofErr w:type="spellStart"/>
      <w:r>
        <w:t>usul</w:t>
      </w:r>
      <w:r w:rsidR="003D435F">
        <w:t>i</w:t>
      </w:r>
      <w:proofErr w:type="spellEnd"/>
      <w:r>
        <w:t xml:space="preserve"> adaleti, karar gerekçelerini ve başvuru yollarını aynı değerlendirme içinde ele almaktadır. Avrupa Konseyi’nin Yapay </w:t>
      </w:r>
      <w:proofErr w:type="gramStart"/>
      <w:r>
        <w:t>Zeka</w:t>
      </w:r>
      <w:proofErr w:type="gramEnd"/>
      <w:r>
        <w:t xml:space="preserve"> ve İnsan Hakları, Demokrasi ve Hukuk Devleti Çerçeve Sözleşmesi de yapay </w:t>
      </w:r>
      <w:proofErr w:type="gramStart"/>
      <w:r>
        <w:t>zeka</w:t>
      </w:r>
      <w:proofErr w:type="gramEnd"/>
      <w:r>
        <w:t xml:space="preserve"> faaliyetlerini belirli bir teknolojiyle sınırlamadan, sistemlerin bütün yaşam döngüsünü insan hakları, demokrasi ve hukuk devleti ilkeleriyle ilişkilendirmektedir. Bu örnekler, tebliğin önerdiği yaklaşımın bütünüyle karşılıksız olmadığını; ancak mevcut çerçevelerin kesişimsel adalet ve topluluk katılımı bakımı</w:t>
      </w:r>
      <w:r>
        <w:t>ndan tamamlanması gerektiğini göstermektedir (</w:t>
      </w:r>
      <w:proofErr w:type="spellStart"/>
      <w:r>
        <w:t>European</w:t>
      </w:r>
      <w:proofErr w:type="spellEnd"/>
      <w:r>
        <w:t xml:space="preserve"> </w:t>
      </w:r>
      <w:proofErr w:type="spellStart"/>
      <w:r>
        <w:t>Union</w:t>
      </w:r>
      <w:proofErr w:type="spellEnd"/>
      <w:r>
        <w:t xml:space="preserve">, 2024; </w:t>
      </w:r>
      <w:proofErr w:type="spellStart"/>
      <w:r>
        <w:t>Government</w:t>
      </w:r>
      <w:proofErr w:type="spellEnd"/>
      <w:r>
        <w:t xml:space="preserve"> of </w:t>
      </w:r>
      <w:proofErr w:type="spellStart"/>
      <w:r>
        <w:t>Canada</w:t>
      </w:r>
      <w:proofErr w:type="spellEnd"/>
      <w:r>
        <w:t xml:space="preserve">, </w:t>
      </w:r>
      <w:proofErr w:type="spellStart"/>
      <w:r>
        <w:t>n.d</w:t>
      </w:r>
      <w:proofErr w:type="spellEnd"/>
      <w:r>
        <w:t xml:space="preserve">.; </w:t>
      </w:r>
      <w:proofErr w:type="spellStart"/>
      <w:r>
        <w:t>Council</w:t>
      </w:r>
      <w:proofErr w:type="spellEnd"/>
      <w:r>
        <w:t xml:space="preserve"> of Europe, 2024).</w:t>
      </w:r>
    </w:p>
    <w:p w14:paraId="4C9E1C8E" w14:textId="77777777" w:rsidR="008004B8" w:rsidRDefault="008004B8">
      <w:pPr>
        <w:pStyle w:val="MdSpace"/>
        <w:spacing w:after="60"/>
      </w:pPr>
    </w:p>
    <w:p w14:paraId="4C9E1C8F" w14:textId="77777777" w:rsidR="008004B8" w:rsidRDefault="00845011">
      <w:pPr>
        <w:pStyle w:val="MdParagraph"/>
      </w:pPr>
      <w:r>
        <w:t>Genel Veri Koruma Tüzüğü (GDPR) m. 22 ve otomatik karar verme ile profillemeye ilişkin bağlantılı hükümler de kişiye yalnızca otomatik bir değerlendirme yapıldığının bildirilmesini değil, bu değerlendirmenin kişi bakımından anlamı ve doğurabileceği sonuçlar hakkında anlaşılabilir bilgi verilmesini gerektiren bir çerçeve sunar. Ancak veri koruma ve açıklama güvenceleri tek başına yeterli değildir. Kişinin verisinin korunması, yanlış veya ayrımcı bir kategori içinde değerlendirilmemesini kendiliğinden güvence</w:t>
      </w:r>
      <w:r>
        <w:t xml:space="preserve"> altına almaz. Bu nedenle otomatik karar verme bakımından veri koruma, eşitlik, ayrımcılık yasağı, insan gözetimi ve etkili başvuru güvenceleriyle birlikte düşünülmelidir (</w:t>
      </w:r>
      <w:proofErr w:type="spellStart"/>
      <w:r>
        <w:t>European</w:t>
      </w:r>
      <w:proofErr w:type="spellEnd"/>
      <w:r>
        <w:t xml:space="preserve"> </w:t>
      </w:r>
      <w:proofErr w:type="spellStart"/>
      <w:r>
        <w:t>Union</w:t>
      </w:r>
      <w:proofErr w:type="spellEnd"/>
      <w:r>
        <w:t xml:space="preserve">, 2016; </w:t>
      </w:r>
      <w:proofErr w:type="spellStart"/>
      <w:r>
        <w:t>European</w:t>
      </w:r>
      <w:proofErr w:type="spellEnd"/>
      <w:r>
        <w:t xml:space="preserve"> Data </w:t>
      </w:r>
      <w:proofErr w:type="spellStart"/>
      <w:r>
        <w:t>Protection</w:t>
      </w:r>
      <w:proofErr w:type="spellEnd"/>
      <w:r>
        <w:t xml:space="preserve"> Board, 2018).</w:t>
      </w:r>
    </w:p>
    <w:p w14:paraId="4C9E1C90" w14:textId="77777777" w:rsidR="008004B8" w:rsidRDefault="008004B8">
      <w:pPr>
        <w:pStyle w:val="MdSpace"/>
        <w:spacing w:after="60"/>
      </w:pPr>
    </w:p>
    <w:p w14:paraId="4C9E1C91" w14:textId="71E9F687" w:rsidR="008004B8" w:rsidRDefault="00845011">
      <w:pPr>
        <w:pStyle w:val="MdParagraph"/>
      </w:pPr>
      <w:r>
        <w:t>Türkiye bakımından Anayasa’nın eşitlik, özel hayatın ve kişisel verilerin korunması, hak arama ve etkili başvuruya ilişkin hükümleri ile Kişisel Verilerin Korunması Kanunu önemli bir hukuk</w:t>
      </w:r>
      <w:r w:rsidR="003D435F">
        <w:t>i</w:t>
      </w:r>
      <w:r>
        <w:t xml:space="preserve"> temel oluşturmaktadır. Bununla birlikte bu genel güvenceler, yapay </w:t>
      </w:r>
      <w:proofErr w:type="gramStart"/>
      <w:r>
        <w:t>zeka</w:t>
      </w:r>
      <w:proofErr w:type="gramEnd"/>
      <w:r>
        <w:t xml:space="preserve"> sistemlerinin bütün yaşam döngüsünü, kesişimsel etkilerini, özel teknoloji şirketlerinin sorumluluğunu ve katılım mekanizmalarını bütünüyle düzenleyen kapsamlı bir yapay </w:t>
      </w:r>
      <w:proofErr w:type="gramStart"/>
      <w:r>
        <w:t>zeka</w:t>
      </w:r>
      <w:proofErr w:type="gramEnd"/>
      <w:r>
        <w:t xml:space="preserve"> hukukunun yerini tutmamaktadır. Bu durum, mevcut anayasal ve kanun</w:t>
      </w:r>
      <w:r w:rsidR="003D435F">
        <w:t>i</w:t>
      </w:r>
      <w:r>
        <w:t xml:space="preserve"> güvencelerin yapay </w:t>
      </w:r>
      <w:proofErr w:type="gramStart"/>
      <w:r>
        <w:t>zeka</w:t>
      </w:r>
      <w:proofErr w:type="gramEnd"/>
      <w:r>
        <w:t xml:space="preserve"> ekosistemine uyarlanması ve normatif boşlukların görünür kılınması gereğini ortaya koymaktadır (T.C. Cumhurbaşkanlığı, 1982; Türkiye Cumhuriyeti, 2016).</w:t>
      </w:r>
    </w:p>
    <w:p w14:paraId="4C9E1C92" w14:textId="77777777" w:rsidR="008004B8" w:rsidRDefault="008004B8">
      <w:pPr>
        <w:pStyle w:val="MdSpace"/>
        <w:spacing w:after="60"/>
      </w:pPr>
    </w:p>
    <w:p w14:paraId="4C9E1C93" w14:textId="77777777" w:rsidR="008004B8" w:rsidRDefault="00845011">
      <w:pPr>
        <w:pStyle w:val="MdParagraph"/>
      </w:pPr>
      <w:r>
        <w:t xml:space="preserve">İlk ihtiyaç, yapay </w:t>
      </w:r>
      <w:proofErr w:type="gramStart"/>
      <w:r>
        <w:t>zeka</w:t>
      </w:r>
      <w:proofErr w:type="gramEnd"/>
      <w:r>
        <w:t xml:space="preserve"> sistemlerinin yalnızca teknik risk veya veri güvenliği bakımından değil, farklı toplumsal konumlar üzerindeki etkileri bakımından da değerlendirilmesidir. Böyle bir inceleme, sistemin hangi hakları etkileyebileceğini, hangi grupların daha fazla risk altında olduğunu, kullanılan kategorilerin geçmiş eşitsizlikleri yeniden üretip üretmediğini ve kararın hangi sonuçları doğurabileceğini sormalıdır. Değerlendirme yalnızca sistem ilk kez kullanılmadan önce yapılmamalı; veri seti, model, kullanım amacı veya </w:t>
      </w:r>
      <w:r>
        <w:t>karar bağlamı değiştikçe yenilenmelidir.</w:t>
      </w:r>
    </w:p>
    <w:p w14:paraId="4C9E1C94" w14:textId="77777777" w:rsidR="008004B8" w:rsidRDefault="008004B8">
      <w:pPr>
        <w:pStyle w:val="MdSpace"/>
        <w:spacing w:after="60"/>
      </w:pPr>
    </w:p>
    <w:p w14:paraId="4C9E1C95" w14:textId="77777777" w:rsidR="008004B8" w:rsidRDefault="00845011">
      <w:pPr>
        <w:pStyle w:val="MdParagraph"/>
      </w:pPr>
      <w:r>
        <w:lastRenderedPageBreak/>
        <w:t>Bu tebliğde önerilen kesişimsel temel haklar etki değerlendirmesi, mevcut etki değerlendirmelerinden üç noktada ayrılır. İlk olarak, kişileri yalnızca önceden belirlenmiş hassas gruplar içinde değerlendirmez; farklı toplumsal konumların kesişiminde ortaya çıkabilecek zararları araştırır. İkinci olarak, yalnızca modelin performansını değil, sistemin hangi amaçla kurulduğunu ve hangi toplumsal problemi çözmeye çalıştığını da inceler. Üçüncü olarak, değerlendirmeyi uzmanların hazırladığı kapalı bir rapor olmak</w:t>
      </w:r>
      <w:r>
        <w:t>tan çıkarıp etkilenen kişi ve toplulukların bilgisine, deneyimine ve itirazına açar.</w:t>
      </w:r>
    </w:p>
    <w:p w14:paraId="4C9E1C96" w14:textId="77777777" w:rsidR="008004B8" w:rsidRDefault="008004B8">
      <w:pPr>
        <w:pStyle w:val="MdSpace"/>
        <w:spacing w:after="60"/>
      </w:pPr>
    </w:p>
    <w:p w14:paraId="4C9E1C97" w14:textId="77777777" w:rsidR="008004B8" w:rsidRDefault="00845011">
      <w:pPr>
        <w:pStyle w:val="MdParagraph"/>
      </w:pPr>
      <w:r>
        <w:t xml:space="preserve">Kapsayıcılık, sisteme daha fazla kişinin kullanıcı olarak dahil edilmesinden ibaret değildir. Asıl mesele, sistemin amaçlarının, kategorilerinin ve kabul edilebilir sonuçlarının belirlenmesinde kimlerin söz sahibi olduğudur. Yapay </w:t>
      </w:r>
      <w:proofErr w:type="gramStart"/>
      <w:r>
        <w:t>zeka</w:t>
      </w:r>
      <w:proofErr w:type="gramEnd"/>
      <w:r>
        <w:t xml:space="preserve"> sistemlerinden etkilenen kişiler, yalnızca veri sağlayan veya sistemin hedef grubu olan pasif özneler olarak görülmemelidir. Onların deneyimi, sistemin yaratabileceği zararları önceden fark edebilecek bir bilgi kaynağıdır. Bu nedenle özellikle yüksek etkili sistemlerde istişare ve katılım usulleri güvence altına alınmalıdır. Katılım sembolik bir görüş alma işlemine indirgenmemeli; hangi sorunların çözüleceğini, hangi verilerin kullanılacağını, hangi kategorilerin kurulacağını ve hangi risklerin kabul e</w:t>
      </w:r>
      <w:r>
        <w:t>dilebilir sayılacağını etkileyebilecek nitelikte olmalıdır.</w:t>
      </w:r>
    </w:p>
    <w:p w14:paraId="4C9E1C98" w14:textId="77777777" w:rsidR="008004B8" w:rsidRDefault="008004B8">
      <w:pPr>
        <w:pStyle w:val="MdSpace"/>
        <w:spacing w:after="60"/>
      </w:pPr>
    </w:p>
    <w:p w14:paraId="4C9E1C99" w14:textId="77777777" w:rsidR="008004B8" w:rsidRDefault="00845011">
      <w:pPr>
        <w:pStyle w:val="MdParagraph"/>
      </w:pPr>
      <w:r>
        <w:t xml:space="preserve">Bir kişinin yapay </w:t>
      </w:r>
      <w:proofErr w:type="gramStart"/>
      <w:r>
        <w:t>zeka</w:t>
      </w:r>
      <w:proofErr w:type="gramEnd"/>
      <w:r>
        <w:t xml:space="preserve"> sistemi tarafından değerlendirildiğini bilmesi de tek başına yeterli değildir. Kişi, kararın otomatik bir değerlendirmeye dayanıp dayanmadığını, değerlendirmede hangi temel unsurların rol oynadığını, kararın kendisi bakımından ne anlama geldiğini ve bu karara nasıl itiraz edebileceğini anlayabilmelidir. Bu açıklama, kaynak kodunun bütünüyle açıklanmasını gerektirmeyebilir; ancak teknik gizlilik veya ticari sır iddiası, kişiyi karar karşısında tamamen bilgisiz bırakmanın gerekçesi olamaz.</w:t>
      </w:r>
    </w:p>
    <w:p w14:paraId="4C9E1C9A" w14:textId="77777777" w:rsidR="008004B8" w:rsidRDefault="008004B8">
      <w:pPr>
        <w:pStyle w:val="MdSpace"/>
        <w:spacing w:after="60"/>
      </w:pPr>
    </w:p>
    <w:p w14:paraId="4C9E1C9B" w14:textId="77777777" w:rsidR="008004B8" w:rsidRDefault="00845011">
      <w:pPr>
        <w:pStyle w:val="MdParagraph"/>
      </w:pPr>
      <w:r>
        <w:t xml:space="preserve">İnsan gözetimi de yalnızca otomatik olarak üretilen sonucu onaylayan biçimsel bir imzadan ibaret olmamalıdır. İnsan karar verici, sistemin sonucunu sorgulayabilmeli, ek bilgi isteyebilmeli, hatalı veya ayrımcı sonucu düzeltebilmeli ve gerektiğinde sistemi kullanmayı durdurabilmelidir. Kişinin itirazı da yalnızca yeni bir otomatik değerlendirmeye yönlendirilmemeli; bağımsız ve gerçek bir inceleme </w:t>
      </w:r>
      <w:proofErr w:type="gramStart"/>
      <w:r>
        <w:t>imkanı</w:t>
      </w:r>
      <w:proofErr w:type="gramEnd"/>
      <w:r>
        <w:t xml:space="preserve"> sağlamalıdır. Aksi halde insan gözetimi, sorumluluğu görünürde insana aktaran fakat kararı fiilen değiştirmeyen bir prosedüre dönüşür.</w:t>
      </w:r>
    </w:p>
    <w:p w14:paraId="4C9E1C9C" w14:textId="77777777" w:rsidR="008004B8" w:rsidRDefault="008004B8">
      <w:pPr>
        <w:pStyle w:val="MdSpace"/>
        <w:spacing w:after="60"/>
      </w:pPr>
    </w:p>
    <w:p w14:paraId="4C9E1C9D" w14:textId="1954E1FB" w:rsidR="008004B8" w:rsidRDefault="00845011">
      <w:pPr>
        <w:pStyle w:val="MdParagraph"/>
      </w:pPr>
      <w:r>
        <w:t xml:space="preserve">Yapay </w:t>
      </w:r>
      <w:proofErr w:type="gramStart"/>
      <w:r>
        <w:t>zeka</w:t>
      </w:r>
      <w:proofErr w:type="gramEnd"/>
      <w:r>
        <w:t xml:space="preserve"> sistemlerinin özel şirketler tarafından geliştirilmesi veya işletilmesi, temel hakların korunması bakımından bir sorumluluk boşluğu yaratmamalıdır. Devletin görevi, özel şirketlerin bütün faaliyetlerini idar</w:t>
      </w:r>
      <w:r w:rsidR="003D435F">
        <w:t>i</w:t>
      </w:r>
      <w:r>
        <w:t xml:space="preserve"> faaliyet saymak değildir. Görevi, temel haklar üzerinde etkili olan teknolojik gücü düzenlemek, şirketlerin gerekli özeni göstermesini sağlamak ve hak ihlali halinde kişilerin etkili başvuru yollarına erişebilmesini güvence altına almaktır.</w:t>
      </w:r>
    </w:p>
    <w:p w14:paraId="4C9E1C9E" w14:textId="77777777" w:rsidR="008004B8" w:rsidRDefault="008004B8">
      <w:pPr>
        <w:pStyle w:val="MdSpace"/>
        <w:spacing w:after="60"/>
      </w:pPr>
    </w:p>
    <w:p w14:paraId="4C9E1C9F" w14:textId="77777777" w:rsidR="008004B8" w:rsidRDefault="00845011">
      <w:pPr>
        <w:pStyle w:val="MdParagraph"/>
      </w:pPr>
      <w:r>
        <w:t>Kamu makamları da sistemi özel bir sağlayıcıdan satın aldıklarında sorumluluğu bütünüyle devredemez. Tedarik ilişkileri; veri kaynaklarını, modelin sınırlarını, güncelleme süreçlerini, denetim ve kayıt yükümlülüklerini, ayrımcılık risklerini ve zararların giderilmesini kapsamalıdır. Özel şirketin teknik uzmanlığı veya ticari sır iddiası, kamu makamının ve etkilenen kişinin denetim ihtiyacını ortadan kaldırmamalıdır.</w:t>
      </w:r>
    </w:p>
    <w:p w14:paraId="4C9E1CA0" w14:textId="77777777" w:rsidR="008004B8" w:rsidRDefault="008004B8">
      <w:pPr>
        <w:pStyle w:val="MdSpace"/>
        <w:spacing w:after="60"/>
      </w:pPr>
    </w:p>
    <w:p w14:paraId="4C9E1CA1" w14:textId="77777777" w:rsidR="008004B8" w:rsidRDefault="00845011">
      <w:pPr>
        <w:pStyle w:val="MdParagraph"/>
      </w:pPr>
      <w:r>
        <w:t xml:space="preserve">Etkili giderim bakımından kişiye yalnızca genel bir </w:t>
      </w:r>
      <w:proofErr w:type="gramStart"/>
      <w:r>
        <w:t>şikayet</w:t>
      </w:r>
      <w:proofErr w:type="gramEnd"/>
      <w:r>
        <w:t xml:space="preserve"> kanalı sunulması da yeterli değildir. Kişi kararı öğrenebilmeli, kararın yeniden incelenmesini isteyebilmeli, gerektiğinde insan tarafından değerlendirilmesini sağlayabilmeli, zararın giderilmesini talep edebilmeli ve </w:t>
      </w:r>
      <w:r>
        <w:lastRenderedPageBreak/>
        <w:t>bağımsız bir yargısal veya düzenleyici denetime başvurabilmelidir. Bu yollar, zarar ortaya çıktıktan sonra işletilen son çareler değil, sistemin tasarımından itibaren kurulması gereken güvencelerdir.</w:t>
      </w:r>
    </w:p>
    <w:p w14:paraId="4C9E1CA2" w14:textId="77777777" w:rsidR="008004B8" w:rsidRDefault="008004B8">
      <w:pPr>
        <w:pStyle w:val="MdSpace"/>
        <w:spacing w:after="60"/>
      </w:pPr>
    </w:p>
    <w:p w14:paraId="4C9E1CA3" w14:textId="77777777" w:rsidR="008004B8" w:rsidRDefault="00845011">
      <w:pPr>
        <w:pStyle w:val="MdHeading2"/>
      </w:pPr>
      <w:r>
        <w:t>6. Sonuç: Tahakküm matrisini kırmak</w:t>
      </w:r>
    </w:p>
    <w:p w14:paraId="4C9E1CA4" w14:textId="77777777" w:rsidR="008004B8" w:rsidRDefault="00845011">
      <w:pPr>
        <w:pStyle w:val="MdParagraph"/>
      </w:pPr>
      <w:r>
        <w:t xml:space="preserve">Yapay </w:t>
      </w:r>
      <w:proofErr w:type="gramStart"/>
      <w:r>
        <w:t>zeka</w:t>
      </w:r>
      <w:proofErr w:type="gramEnd"/>
      <w:r>
        <w:t>, toplumsal ilişkilerin dışında işleyen tarafsız ve özerk bir araç değildir. Veri setlerinden sınıflandırma kategorilerine, görünmeyen emekten tasarım tercihlerine ve sorumluluğun dağılımına kadar uzanan bir ilişkiler ağı içinde üretilir. Bu ağın her aşamasında toplumsal cinsiyet, ırk, sınıf, göçmenlik, engellilik ve diğer toplumsal konumlarla kesişen eşitsizlikler yeniden üretilebilir.</w:t>
      </w:r>
    </w:p>
    <w:p w14:paraId="4C9E1CA5" w14:textId="77777777" w:rsidR="008004B8" w:rsidRDefault="008004B8">
      <w:pPr>
        <w:pStyle w:val="MdSpace"/>
        <w:spacing w:after="60"/>
      </w:pPr>
    </w:p>
    <w:p w14:paraId="4C9E1CA6" w14:textId="77777777" w:rsidR="008004B8" w:rsidRDefault="00845011">
      <w:pPr>
        <w:pStyle w:val="MdParagraph"/>
      </w:pPr>
      <w:r>
        <w:t xml:space="preserve">Bu nedenle yapay </w:t>
      </w:r>
      <w:proofErr w:type="gramStart"/>
      <w:r>
        <w:t>zeka</w:t>
      </w:r>
      <w:proofErr w:type="gramEnd"/>
      <w:r>
        <w:t xml:space="preserve"> adaletini yalnızca hata oranlarını eşitlemeye, veri güvenliğini sağlamaya veya kararın son aşamasında itiraz </w:t>
      </w:r>
      <w:proofErr w:type="gramStart"/>
      <w:r>
        <w:t>imkanı</w:t>
      </w:r>
      <w:proofErr w:type="gramEnd"/>
      <w:r>
        <w:t xml:space="preserve"> sunmaya indirgemek mümkün değildir. İhtiyaç duyulan şey; yapay zekanın amaçlarını, kategorilerini, etkilerini ve sorumluluk ilişkilerini birlikte değerlendiren kesişimsel bir insan hakları çerçevesidir. Kamu hukuku bu çerçevede yalnızca idarenin hatalı kararını sonradan düzelten bir alan olarak değil, kamu ve özel teknolojik gücü temel haklar bakımından sınırlayan, katılımı ve tanınmayı g</w:t>
      </w:r>
      <w:r>
        <w:t>üvence altına alan ve hak ihlali halinde etkili giderim sağlayan kamusal bir düzen olarak düşünülmelidir.</w:t>
      </w:r>
    </w:p>
    <w:p w14:paraId="4C9E1CA7" w14:textId="77777777" w:rsidR="008004B8" w:rsidRDefault="008004B8">
      <w:pPr>
        <w:pStyle w:val="MdSpace"/>
        <w:spacing w:after="60"/>
      </w:pPr>
    </w:p>
    <w:p w14:paraId="4C9E1CA8" w14:textId="6572CB7F" w:rsidR="008004B8" w:rsidRDefault="00845011">
      <w:pPr>
        <w:pStyle w:val="MdParagraph"/>
      </w:pPr>
      <w:r>
        <w:t xml:space="preserve">Canavarın karnında olmak, </w:t>
      </w:r>
      <w:proofErr w:type="spellStart"/>
      <w:r>
        <w:t>teknobilimsel</w:t>
      </w:r>
      <w:proofErr w:type="spellEnd"/>
      <w:r>
        <w:t xml:space="preserve"> düzenin dışında ve onun etkilerinden bütünüyle uzak bir konumda bulunamamak demektir. Fakat bu içsellik, teslimiyet anlamına gelmez. Tam tersine, yapay zekanın içinde yaşarken onun hangi eşitsizlikleri yeniden ürettiğini görmek, hangi sesleri dışarıda bıraktığını sormak ve bu ilişkileri dönüştürecek hukuk</w:t>
      </w:r>
      <w:r w:rsidR="003D435F">
        <w:t>i</w:t>
      </w:r>
      <w:r>
        <w:t xml:space="preserve"> ve siyasal imkanları kurmak mümkündür. Tahakküm matrisini kırmak, yapay zekayı bütünüyle reddetmekten değil; onun nasıl kurulduğunu görünür kılmaktan, kimlerin hayatını etkilediğini hesaba katmaktan ve bu etkileri insan hakları, katılım ve sorumlulukla sınırlandırmaktan geçer.</w:t>
      </w:r>
    </w:p>
    <w:p w14:paraId="4C9E1CA9" w14:textId="77777777" w:rsidR="008004B8" w:rsidRDefault="008004B8">
      <w:pPr>
        <w:pStyle w:val="MdSpace"/>
        <w:spacing w:after="60"/>
      </w:pPr>
    </w:p>
    <w:p w14:paraId="4C9E1CAA" w14:textId="77777777" w:rsidR="008004B8" w:rsidRDefault="00845011">
      <w:pPr>
        <w:pStyle w:val="MdHeading2"/>
      </w:pPr>
      <w:r>
        <w:t>Kaynakça</w:t>
      </w:r>
    </w:p>
    <w:p w14:paraId="4C9E1CAB" w14:textId="77777777" w:rsidR="008004B8" w:rsidRDefault="00845011">
      <w:pPr>
        <w:pStyle w:val="MdParagraph"/>
      </w:pPr>
      <w:proofErr w:type="spellStart"/>
      <w:r>
        <w:t>Birhane</w:t>
      </w:r>
      <w:proofErr w:type="spellEnd"/>
      <w:r>
        <w:t xml:space="preserve">, A., </w:t>
      </w:r>
      <w:proofErr w:type="spellStart"/>
      <w:r>
        <w:t>Kalluri</w:t>
      </w:r>
      <w:proofErr w:type="spellEnd"/>
      <w:r>
        <w:t xml:space="preserve">, P., </w:t>
      </w:r>
      <w:proofErr w:type="spellStart"/>
      <w:r>
        <w:t>Card</w:t>
      </w:r>
      <w:proofErr w:type="spellEnd"/>
      <w:r>
        <w:t xml:space="preserve">, D., </w:t>
      </w:r>
      <w:proofErr w:type="spellStart"/>
      <w:r>
        <w:t>Agnew</w:t>
      </w:r>
      <w:proofErr w:type="spellEnd"/>
      <w:r>
        <w:t xml:space="preserve">, W., </w:t>
      </w:r>
      <w:proofErr w:type="spellStart"/>
      <w:r>
        <w:t>Dotan</w:t>
      </w:r>
      <w:proofErr w:type="spellEnd"/>
      <w:r>
        <w:t xml:space="preserve">, R., &amp; </w:t>
      </w:r>
      <w:proofErr w:type="spellStart"/>
      <w:r>
        <w:t>Bao</w:t>
      </w:r>
      <w:proofErr w:type="spellEnd"/>
      <w:r>
        <w:t xml:space="preserve">, M. (2022). </w:t>
      </w:r>
      <w:proofErr w:type="spellStart"/>
      <w:r>
        <w:t>The</w:t>
      </w:r>
      <w:proofErr w:type="spellEnd"/>
      <w:r>
        <w:t xml:space="preserve"> </w:t>
      </w:r>
      <w:proofErr w:type="spellStart"/>
      <w:r>
        <w:t>values</w:t>
      </w:r>
      <w:proofErr w:type="spellEnd"/>
      <w:r>
        <w:t xml:space="preserve"> </w:t>
      </w:r>
      <w:proofErr w:type="spellStart"/>
      <w:r>
        <w:t>encoded</w:t>
      </w:r>
      <w:proofErr w:type="spellEnd"/>
      <w:r>
        <w:t xml:space="preserve"> in </w:t>
      </w:r>
      <w:proofErr w:type="spellStart"/>
      <w:r>
        <w:t>machine</w:t>
      </w:r>
      <w:proofErr w:type="spellEnd"/>
      <w:r>
        <w:t xml:space="preserve"> </w:t>
      </w:r>
      <w:proofErr w:type="spellStart"/>
      <w:r>
        <w:t>learning</w:t>
      </w:r>
      <w:proofErr w:type="spellEnd"/>
      <w:r>
        <w:t xml:space="preserve"> </w:t>
      </w:r>
      <w:proofErr w:type="spellStart"/>
      <w:r>
        <w:t>research</w:t>
      </w:r>
      <w:proofErr w:type="spellEnd"/>
      <w:r>
        <w:t xml:space="preserve">. </w:t>
      </w:r>
      <w:proofErr w:type="spellStart"/>
      <w:r>
        <w:t>In</w:t>
      </w:r>
      <w:proofErr w:type="spellEnd"/>
      <w:r>
        <w:t xml:space="preserve"> </w:t>
      </w:r>
      <w:proofErr w:type="spellStart"/>
      <w:r>
        <w:t>Proceedings</w:t>
      </w:r>
      <w:proofErr w:type="spellEnd"/>
      <w:r>
        <w:t xml:space="preserve"> of </w:t>
      </w:r>
      <w:proofErr w:type="spellStart"/>
      <w:r>
        <w:t>the</w:t>
      </w:r>
      <w:proofErr w:type="spellEnd"/>
      <w:r>
        <w:t xml:space="preserve"> 2022 ACM Conference on </w:t>
      </w:r>
      <w:proofErr w:type="spellStart"/>
      <w:r>
        <w:t>Fairness</w:t>
      </w:r>
      <w:proofErr w:type="spellEnd"/>
      <w:r>
        <w:t xml:space="preserve">, </w:t>
      </w:r>
      <w:proofErr w:type="spellStart"/>
      <w:r>
        <w:t>Accountability</w:t>
      </w:r>
      <w:proofErr w:type="spellEnd"/>
      <w:r>
        <w:t xml:space="preserve">, </w:t>
      </w:r>
      <w:proofErr w:type="spellStart"/>
      <w:r>
        <w:t>and</w:t>
      </w:r>
      <w:proofErr w:type="spellEnd"/>
      <w:r>
        <w:t xml:space="preserve"> </w:t>
      </w:r>
      <w:proofErr w:type="spellStart"/>
      <w:r>
        <w:t>Transparency</w:t>
      </w:r>
      <w:proofErr w:type="spellEnd"/>
      <w:r>
        <w:t xml:space="preserve"> (</w:t>
      </w:r>
      <w:proofErr w:type="spellStart"/>
      <w:r>
        <w:t>pp</w:t>
      </w:r>
      <w:proofErr w:type="spellEnd"/>
      <w:r>
        <w:t xml:space="preserve">. 173–184). </w:t>
      </w:r>
      <w:proofErr w:type="spellStart"/>
      <w:r>
        <w:t>Association</w:t>
      </w:r>
      <w:proofErr w:type="spellEnd"/>
      <w:r>
        <w:t xml:space="preserve"> </w:t>
      </w:r>
      <w:proofErr w:type="spellStart"/>
      <w:r>
        <w:t>for</w:t>
      </w:r>
      <w:proofErr w:type="spellEnd"/>
      <w:r>
        <w:t xml:space="preserve"> Computing </w:t>
      </w:r>
      <w:proofErr w:type="spellStart"/>
      <w:r>
        <w:t>Machinery</w:t>
      </w:r>
      <w:proofErr w:type="spellEnd"/>
      <w:r>
        <w:t xml:space="preserve">. </w:t>
      </w:r>
      <w:hyperlink r:id="rId7" w:history="1">
        <w:r>
          <w:rPr>
            <w:rStyle w:val="MdLink"/>
          </w:rPr>
          <w:t>https://doi.org/10.1145/3531146.3533083</w:t>
        </w:r>
      </w:hyperlink>
    </w:p>
    <w:p w14:paraId="4C9E1CAC" w14:textId="77777777" w:rsidR="008004B8" w:rsidRDefault="008004B8">
      <w:pPr>
        <w:pStyle w:val="MdSpace"/>
        <w:spacing w:after="60"/>
      </w:pPr>
    </w:p>
    <w:p w14:paraId="4C9E1CAD" w14:textId="77777777" w:rsidR="008004B8" w:rsidRDefault="00845011">
      <w:pPr>
        <w:pStyle w:val="MdParagraph"/>
      </w:pPr>
      <w:proofErr w:type="spellStart"/>
      <w:r>
        <w:t>Buolamwini</w:t>
      </w:r>
      <w:proofErr w:type="spellEnd"/>
      <w:r>
        <w:t xml:space="preserve">, J., &amp; </w:t>
      </w:r>
      <w:proofErr w:type="spellStart"/>
      <w:r>
        <w:t>Gebru</w:t>
      </w:r>
      <w:proofErr w:type="spellEnd"/>
      <w:r>
        <w:t xml:space="preserve">, T. (2018). </w:t>
      </w:r>
      <w:proofErr w:type="spellStart"/>
      <w:r>
        <w:t>Gender</w:t>
      </w:r>
      <w:proofErr w:type="spellEnd"/>
      <w:r>
        <w:t xml:space="preserve"> </w:t>
      </w:r>
      <w:proofErr w:type="spellStart"/>
      <w:r>
        <w:t>shades</w:t>
      </w:r>
      <w:proofErr w:type="spellEnd"/>
      <w:r>
        <w:t xml:space="preserve">: </w:t>
      </w:r>
      <w:proofErr w:type="spellStart"/>
      <w:r>
        <w:t>Intersectional</w:t>
      </w:r>
      <w:proofErr w:type="spellEnd"/>
      <w:r>
        <w:t xml:space="preserve"> </w:t>
      </w:r>
      <w:proofErr w:type="spellStart"/>
      <w:r>
        <w:t>accuracy</w:t>
      </w:r>
      <w:proofErr w:type="spellEnd"/>
      <w:r>
        <w:t xml:space="preserve"> </w:t>
      </w:r>
      <w:proofErr w:type="spellStart"/>
      <w:r>
        <w:t>disparities</w:t>
      </w:r>
      <w:proofErr w:type="spellEnd"/>
      <w:r>
        <w:t xml:space="preserve"> in </w:t>
      </w:r>
      <w:proofErr w:type="spellStart"/>
      <w:r>
        <w:t>commercial</w:t>
      </w:r>
      <w:proofErr w:type="spellEnd"/>
      <w:r>
        <w:t xml:space="preserve"> </w:t>
      </w:r>
      <w:proofErr w:type="spellStart"/>
      <w:r>
        <w:t>gender</w:t>
      </w:r>
      <w:proofErr w:type="spellEnd"/>
      <w:r>
        <w:t xml:space="preserve"> </w:t>
      </w:r>
      <w:proofErr w:type="spellStart"/>
      <w:r>
        <w:t>classification</w:t>
      </w:r>
      <w:proofErr w:type="spellEnd"/>
      <w:r>
        <w:t xml:space="preserve">. </w:t>
      </w:r>
      <w:proofErr w:type="spellStart"/>
      <w:r>
        <w:t>Proceedings</w:t>
      </w:r>
      <w:proofErr w:type="spellEnd"/>
      <w:r>
        <w:t xml:space="preserve"> of Machine Learning </w:t>
      </w:r>
      <w:proofErr w:type="spellStart"/>
      <w:r>
        <w:t>Research</w:t>
      </w:r>
      <w:proofErr w:type="spellEnd"/>
      <w:r>
        <w:t xml:space="preserve">, 81, 77–91. </w:t>
      </w:r>
      <w:hyperlink r:id="rId8" w:history="1">
        <w:r>
          <w:rPr>
            <w:rStyle w:val="MdLink"/>
          </w:rPr>
          <w:t>https://proceedings.mlr.press/v81/buolamwini18a.html</w:t>
        </w:r>
      </w:hyperlink>
    </w:p>
    <w:p w14:paraId="4C9E1CAE" w14:textId="77777777" w:rsidR="008004B8" w:rsidRDefault="008004B8">
      <w:pPr>
        <w:pStyle w:val="MdSpace"/>
        <w:spacing w:after="60"/>
      </w:pPr>
    </w:p>
    <w:p w14:paraId="4C9E1CAF" w14:textId="77777777" w:rsidR="008004B8" w:rsidRDefault="00845011">
      <w:pPr>
        <w:pStyle w:val="MdParagraph"/>
      </w:pPr>
      <w:r>
        <w:t xml:space="preserve">Collins, P. H. (2000). Black feminist </w:t>
      </w:r>
      <w:proofErr w:type="spellStart"/>
      <w:r>
        <w:t>thought</w:t>
      </w:r>
      <w:proofErr w:type="spellEnd"/>
      <w:r>
        <w:t xml:space="preserve">: Knowledge, </w:t>
      </w:r>
      <w:proofErr w:type="spellStart"/>
      <w:r>
        <w:t>consciousness</w:t>
      </w:r>
      <w:proofErr w:type="spellEnd"/>
      <w:r>
        <w:t xml:space="preserve">, </w:t>
      </w:r>
      <w:proofErr w:type="spellStart"/>
      <w:r>
        <w:t>and</w:t>
      </w:r>
      <w:proofErr w:type="spellEnd"/>
      <w:r>
        <w:t xml:space="preserve"> </w:t>
      </w:r>
      <w:proofErr w:type="spellStart"/>
      <w:r>
        <w:t>the</w:t>
      </w:r>
      <w:proofErr w:type="spellEnd"/>
      <w:r>
        <w:t xml:space="preserve"> </w:t>
      </w:r>
      <w:proofErr w:type="spellStart"/>
      <w:r>
        <w:t>politics</w:t>
      </w:r>
      <w:proofErr w:type="spellEnd"/>
      <w:r>
        <w:t xml:space="preserve"> of </w:t>
      </w:r>
      <w:proofErr w:type="spellStart"/>
      <w:r>
        <w:t>empowerment</w:t>
      </w:r>
      <w:proofErr w:type="spellEnd"/>
      <w:r>
        <w:t xml:space="preserve"> (2nd ed.). </w:t>
      </w:r>
      <w:proofErr w:type="spellStart"/>
      <w:r>
        <w:t>Routledge</w:t>
      </w:r>
      <w:proofErr w:type="spellEnd"/>
      <w:r>
        <w:t xml:space="preserve">. </w:t>
      </w:r>
      <w:hyperlink r:id="rId9" w:history="1">
        <w:r>
          <w:rPr>
            <w:rStyle w:val="MdLink"/>
          </w:rPr>
          <w:t>https://doi.org/10.4324/9780203900055</w:t>
        </w:r>
      </w:hyperlink>
    </w:p>
    <w:p w14:paraId="4C9E1CB0" w14:textId="77777777" w:rsidR="008004B8" w:rsidRDefault="008004B8">
      <w:pPr>
        <w:pStyle w:val="MdSpace"/>
        <w:spacing w:after="60"/>
      </w:pPr>
    </w:p>
    <w:p w14:paraId="4C9E1CB1" w14:textId="77777777" w:rsidR="008004B8" w:rsidRDefault="00845011">
      <w:pPr>
        <w:pStyle w:val="MdParagraph"/>
      </w:pPr>
      <w:proofErr w:type="spellStart"/>
      <w:r>
        <w:lastRenderedPageBreak/>
        <w:t>Costanza-Chock</w:t>
      </w:r>
      <w:proofErr w:type="spellEnd"/>
      <w:r>
        <w:t xml:space="preserve">, S. (2018). Design </w:t>
      </w:r>
      <w:proofErr w:type="spellStart"/>
      <w:r>
        <w:t>justice</w:t>
      </w:r>
      <w:proofErr w:type="spellEnd"/>
      <w:r>
        <w:t xml:space="preserve">, A.I., </w:t>
      </w:r>
      <w:proofErr w:type="spellStart"/>
      <w:r>
        <w:t>and</w:t>
      </w:r>
      <w:proofErr w:type="spellEnd"/>
      <w:r>
        <w:t xml:space="preserve"> </w:t>
      </w:r>
      <w:proofErr w:type="spellStart"/>
      <w:r>
        <w:t>escape</w:t>
      </w:r>
      <w:proofErr w:type="spellEnd"/>
      <w:r>
        <w:t xml:space="preserve"> </w:t>
      </w:r>
      <w:proofErr w:type="spellStart"/>
      <w:r>
        <w:t>from</w:t>
      </w:r>
      <w:proofErr w:type="spellEnd"/>
      <w:r>
        <w:t xml:space="preserve"> </w:t>
      </w:r>
      <w:proofErr w:type="spellStart"/>
      <w:r>
        <w:t>the</w:t>
      </w:r>
      <w:proofErr w:type="spellEnd"/>
      <w:r>
        <w:t xml:space="preserve"> </w:t>
      </w:r>
      <w:proofErr w:type="spellStart"/>
      <w:r>
        <w:t>matrix</w:t>
      </w:r>
      <w:proofErr w:type="spellEnd"/>
      <w:r>
        <w:t xml:space="preserve"> of </w:t>
      </w:r>
      <w:proofErr w:type="spellStart"/>
      <w:r>
        <w:t>domination</w:t>
      </w:r>
      <w:proofErr w:type="spellEnd"/>
      <w:r>
        <w:t xml:space="preserve">. </w:t>
      </w:r>
      <w:proofErr w:type="spellStart"/>
      <w:r>
        <w:t>Journal</w:t>
      </w:r>
      <w:proofErr w:type="spellEnd"/>
      <w:r>
        <w:t xml:space="preserve"> of Design </w:t>
      </w:r>
      <w:proofErr w:type="spellStart"/>
      <w:r>
        <w:t>and</w:t>
      </w:r>
      <w:proofErr w:type="spellEnd"/>
      <w:r>
        <w:t xml:space="preserve"> </w:t>
      </w:r>
      <w:proofErr w:type="spellStart"/>
      <w:r>
        <w:t>Science</w:t>
      </w:r>
      <w:proofErr w:type="spellEnd"/>
      <w:r>
        <w:t xml:space="preserve">. </w:t>
      </w:r>
      <w:hyperlink r:id="rId10" w:history="1">
        <w:r>
          <w:rPr>
            <w:rStyle w:val="MdLink"/>
          </w:rPr>
          <w:t>https://doi.org/10.21428/96c8d426</w:t>
        </w:r>
      </w:hyperlink>
    </w:p>
    <w:p w14:paraId="4C9E1CB2" w14:textId="77777777" w:rsidR="008004B8" w:rsidRDefault="008004B8">
      <w:pPr>
        <w:pStyle w:val="MdSpace"/>
        <w:spacing w:after="60"/>
      </w:pPr>
    </w:p>
    <w:p w14:paraId="4C9E1CB3" w14:textId="77777777" w:rsidR="008004B8" w:rsidRDefault="00845011">
      <w:pPr>
        <w:pStyle w:val="MdParagraph"/>
      </w:pPr>
      <w:proofErr w:type="spellStart"/>
      <w:r>
        <w:t>Crenshaw</w:t>
      </w:r>
      <w:proofErr w:type="spellEnd"/>
      <w:r>
        <w:t xml:space="preserve">, K. (1989). </w:t>
      </w:r>
      <w:proofErr w:type="spellStart"/>
      <w:r>
        <w:t>Demarginalizing</w:t>
      </w:r>
      <w:proofErr w:type="spellEnd"/>
      <w:r>
        <w:t xml:space="preserve"> </w:t>
      </w:r>
      <w:proofErr w:type="spellStart"/>
      <w:r>
        <w:t>the</w:t>
      </w:r>
      <w:proofErr w:type="spellEnd"/>
      <w:r>
        <w:t xml:space="preserve"> </w:t>
      </w:r>
      <w:proofErr w:type="spellStart"/>
      <w:r>
        <w:t>intersection</w:t>
      </w:r>
      <w:proofErr w:type="spellEnd"/>
      <w:r>
        <w:t xml:space="preserve"> of </w:t>
      </w:r>
      <w:proofErr w:type="spellStart"/>
      <w:r>
        <w:t>race</w:t>
      </w:r>
      <w:proofErr w:type="spellEnd"/>
      <w:r>
        <w:t xml:space="preserve"> </w:t>
      </w:r>
      <w:proofErr w:type="spellStart"/>
      <w:r>
        <w:t>and</w:t>
      </w:r>
      <w:proofErr w:type="spellEnd"/>
      <w:r>
        <w:t xml:space="preserve"> </w:t>
      </w:r>
      <w:proofErr w:type="spellStart"/>
      <w:r>
        <w:t>sex</w:t>
      </w:r>
      <w:proofErr w:type="spellEnd"/>
      <w:r>
        <w:t xml:space="preserve">: A Black feminist </w:t>
      </w:r>
      <w:proofErr w:type="spellStart"/>
      <w:r>
        <w:t>critique</w:t>
      </w:r>
      <w:proofErr w:type="spellEnd"/>
      <w:r>
        <w:t xml:space="preserve"> of </w:t>
      </w:r>
      <w:proofErr w:type="spellStart"/>
      <w:r>
        <w:t>antidiscrimination</w:t>
      </w:r>
      <w:proofErr w:type="spellEnd"/>
      <w:r>
        <w:t xml:space="preserve"> </w:t>
      </w:r>
      <w:proofErr w:type="spellStart"/>
      <w:r>
        <w:t>doctrine</w:t>
      </w:r>
      <w:proofErr w:type="spellEnd"/>
      <w:r>
        <w:t xml:space="preserve">, feminist </w:t>
      </w:r>
      <w:proofErr w:type="spellStart"/>
      <w:r>
        <w:t>theory</w:t>
      </w:r>
      <w:proofErr w:type="spellEnd"/>
      <w:r>
        <w:t xml:space="preserve"> </w:t>
      </w:r>
      <w:proofErr w:type="spellStart"/>
      <w:r>
        <w:t>and</w:t>
      </w:r>
      <w:proofErr w:type="spellEnd"/>
      <w:r>
        <w:t xml:space="preserve"> </w:t>
      </w:r>
      <w:proofErr w:type="spellStart"/>
      <w:r>
        <w:t>antiracist</w:t>
      </w:r>
      <w:proofErr w:type="spellEnd"/>
      <w:r>
        <w:t xml:space="preserve"> </w:t>
      </w:r>
      <w:proofErr w:type="spellStart"/>
      <w:r>
        <w:t>politics</w:t>
      </w:r>
      <w:proofErr w:type="spellEnd"/>
      <w:r>
        <w:t xml:space="preserve">. </w:t>
      </w:r>
      <w:proofErr w:type="spellStart"/>
      <w:r>
        <w:t>University</w:t>
      </w:r>
      <w:proofErr w:type="spellEnd"/>
      <w:r>
        <w:t xml:space="preserve"> of Chicago Legal Forum, 1989(1), </w:t>
      </w:r>
      <w:proofErr w:type="spellStart"/>
      <w:r>
        <w:t>Article</w:t>
      </w:r>
      <w:proofErr w:type="spellEnd"/>
      <w:r>
        <w:t xml:space="preserve"> 8. </w:t>
      </w:r>
      <w:hyperlink r:id="rId11" w:history="1">
        <w:r>
          <w:rPr>
            <w:rStyle w:val="MdLink"/>
          </w:rPr>
          <w:t>https://chicagounbound.uchicago.edu/uclf/vol1989/iss1/8/</w:t>
        </w:r>
      </w:hyperlink>
    </w:p>
    <w:p w14:paraId="4C9E1CB4" w14:textId="77777777" w:rsidR="008004B8" w:rsidRDefault="008004B8">
      <w:pPr>
        <w:pStyle w:val="MdSpace"/>
        <w:spacing w:after="60"/>
      </w:pPr>
    </w:p>
    <w:p w14:paraId="4C9E1CB5" w14:textId="77777777" w:rsidR="008004B8" w:rsidRDefault="00845011">
      <w:pPr>
        <w:pStyle w:val="MdParagraph"/>
      </w:pPr>
      <w:proofErr w:type="spellStart"/>
      <w:r>
        <w:t>Crenshaw</w:t>
      </w:r>
      <w:proofErr w:type="spellEnd"/>
      <w:r>
        <w:t xml:space="preserve">, K. (1991). </w:t>
      </w:r>
      <w:proofErr w:type="spellStart"/>
      <w:r>
        <w:t>Mapping</w:t>
      </w:r>
      <w:proofErr w:type="spellEnd"/>
      <w:r>
        <w:t xml:space="preserve"> </w:t>
      </w:r>
      <w:proofErr w:type="spellStart"/>
      <w:r>
        <w:t>the</w:t>
      </w:r>
      <w:proofErr w:type="spellEnd"/>
      <w:r>
        <w:t xml:space="preserve"> </w:t>
      </w:r>
      <w:proofErr w:type="spellStart"/>
      <w:r>
        <w:t>margins</w:t>
      </w:r>
      <w:proofErr w:type="spellEnd"/>
      <w:r>
        <w:t xml:space="preserve">: </w:t>
      </w:r>
      <w:proofErr w:type="spellStart"/>
      <w:r>
        <w:t>Intersectionality</w:t>
      </w:r>
      <w:proofErr w:type="spellEnd"/>
      <w:r>
        <w:t xml:space="preserve">, </w:t>
      </w:r>
      <w:proofErr w:type="spellStart"/>
      <w:r>
        <w:t>identity</w:t>
      </w:r>
      <w:proofErr w:type="spellEnd"/>
      <w:r>
        <w:t xml:space="preserve"> </w:t>
      </w:r>
      <w:proofErr w:type="spellStart"/>
      <w:r>
        <w:t>politics</w:t>
      </w:r>
      <w:proofErr w:type="spellEnd"/>
      <w:r>
        <w:t xml:space="preserve">, </w:t>
      </w:r>
      <w:proofErr w:type="spellStart"/>
      <w:r>
        <w:t>and</w:t>
      </w:r>
      <w:proofErr w:type="spellEnd"/>
      <w:r>
        <w:t xml:space="preserve"> </w:t>
      </w:r>
      <w:proofErr w:type="spellStart"/>
      <w:r>
        <w:t>violence</w:t>
      </w:r>
      <w:proofErr w:type="spellEnd"/>
      <w:r>
        <w:t xml:space="preserve"> </w:t>
      </w:r>
      <w:proofErr w:type="spellStart"/>
      <w:r>
        <w:t>against</w:t>
      </w:r>
      <w:proofErr w:type="spellEnd"/>
      <w:r>
        <w:t xml:space="preserve"> </w:t>
      </w:r>
      <w:proofErr w:type="spellStart"/>
      <w:r>
        <w:t>women</w:t>
      </w:r>
      <w:proofErr w:type="spellEnd"/>
      <w:r>
        <w:t xml:space="preserve"> of </w:t>
      </w:r>
      <w:proofErr w:type="spellStart"/>
      <w:r>
        <w:t>color</w:t>
      </w:r>
      <w:proofErr w:type="spellEnd"/>
      <w:r>
        <w:t xml:space="preserve">. Stanford </w:t>
      </w:r>
      <w:proofErr w:type="spellStart"/>
      <w:r>
        <w:t>Law</w:t>
      </w:r>
      <w:proofErr w:type="spellEnd"/>
      <w:r>
        <w:t xml:space="preserve"> </w:t>
      </w:r>
      <w:proofErr w:type="spellStart"/>
      <w:r>
        <w:t>Review</w:t>
      </w:r>
      <w:proofErr w:type="spellEnd"/>
      <w:r>
        <w:t xml:space="preserve">, 43(6), 1241–1299. </w:t>
      </w:r>
      <w:hyperlink r:id="rId12" w:history="1">
        <w:r>
          <w:rPr>
            <w:rStyle w:val="MdLink"/>
          </w:rPr>
          <w:t>https://doi.org/10.2307/1229039</w:t>
        </w:r>
      </w:hyperlink>
    </w:p>
    <w:p w14:paraId="4C9E1CB6" w14:textId="77777777" w:rsidR="008004B8" w:rsidRDefault="008004B8">
      <w:pPr>
        <w:pStyle w:val="MdSpace"/>
        <w:spacing w:after="60"/>
      </w:pPr>
    </w:p>
    <w:p w14:paraId="4C9E1CB7" w14:textId="77777777" w:rsidR="008004B8" w:rsidRDefault="00845011">
      <w:pPr>
        <w:pStyle w:val="MdParagraph"/>
      </w:pPr>
      <w:r>
        <w:t xml:space="preserve">Crawford, K. (2021). Atlas of AI: </w:t>
      </w:r>
      <w:proofErr w:type="spellStart"/>
      <w:r>
        <w:t>Power</w:t>
      </w:r>
      <w:proofErr w:type="spellEnd"/>
      <w:r>
        <w:t xml:space="preserve">, </w:t>
      </w:r>
      <w:proofErr w:type="spellStart"/>
      <w:r>
        <w:t>politics</w:t>
      </w:r>
      <w:proofErr w:type="spellEnd"/>
      <w:r>
        <w:t xml:space="preserve">, </w:t>
      </w:r>
      <w:proofErr w:type="spellStart"/>
      <w:r>
        <w:t>and</w:t>
      </w:r>
      <w:proofErr w:type="spellEnd"/>
      <w:r>
        <w:t xml:space="preserve"> </w:t>
      </w:r>
      <w:proofErr w:type="spellStart"/>
      <w:r>
        <w:t>the</w:t>
      </w:r>
      <w:proofErr w:type="spellEnd"/>
      <w:r>
        <w:t xml:space="preserve"> </w:t>
      </w:r>
      <w:proofErr w:type="spellStart"/>
      <w:r>
        <w:t>planetary</w:t>
      </w:r>
      <w:proofErr w:type="spellEnd"/>
      <w:r>
        <w:t xml:space="preserve"> </w:t>
      </w:r>
      <w:proofErr w:type="spellStart"/>
      <w:r>
        <w:t>costs</w:t>
      </w:r>
      <w:proofErr w:type="spellEnd"/>
      <w:r>
        <w:t xml:space="preserve"> of </w:t>
      </w:r>
      <w:proofErr w:type="spellStart"/>
      <w:r>
        <w:t>artificial</w:t>
      </w:r>
      <w:proofErr w:type="spellEnd"/>
      <w:r>
        <w:t xml:space="preserve"> </w:t>
      </w:r>
      <w:proofErr w:type="spellStart"/>
      <w:r>
        <w:t>intelligence</w:t>
      </w:r>
      <w:proofErr w:type="spellEnd"/>
      <w:r>
        <w:t xml:space="preserve">. Yale </w:t>
      </w:r>
      <w:proofErr w:type="spellStart"/>
      <w:r>
        <w:t>University</w:t>
      </w:r>
      <w:proofErr w:type="spellEnd"/>
      <w:r>
        <w:t xml:space="preserve"> </w:t>
      </w:r>
      <w:proofErr w:type="spellStart"/>
      <w:r>
        <w:t>Press</w:t>
      </w:r>
      <w:proofErr w:type="spellEnd"/>
      <w:r>
        <w:t>.</w:t>
      </w:r>
    </w:p>
    <w:p w14:paraId="4C9E1CB8" w14:textId="77777777" w:rsidR="008004B8" w:rsidRDefault="008004B8">
      <w:pPr>
        <w:pStyle w:val="MdSpace"/>
        <w:spacing w:after="60"/>
      </w:pPr>
    </w:p>
    <w:p w14:paraId="4C9E1CB9" w14:textId="77777777" w:rsidR="008004B8" w:rsidRDefault="00845011">
      <w:pPr>
        <w:pStyle w:val="MdParagraph"/>
      </w:pPr>
      <w:proofErr w:type="spellStart"/>
      <w:r>
        <w:t>D’Ignazio</w:t>
      </w:r>
      <w:proofErr w:type="spellEnd"/>
      <w:r>
        <w:t xml:space="preserve">, C., &amp; </w:t>
      </w:r>
      <w:proofErr w:type="spellStart"/>
      <w:r>
        <w:t>Klein</w:t>
      </w:r>
      <w:proofErr w:type="spellEnd"/>
      <w:r>
        <w:t xml:space="preserve">, L. F. (2020). </w:t>
      </w:r>
      <w:proofErr w:type="gramStart"/>
      <w:r>
        <w:t>Data</w:t>
      </w:r>
      <w:proofErr w:type="gramEnd"/>
      <w:r>
        <w:t xml:space="preserve"> </w:t>
      </w:r>
      <w:proofErr w:type="spellStart"/>
      <w:r>
        <w:t>feminism</w:t>
      </w:r>
      <w:proofErr w:type="spellEnd"/>
      <w:r>
        <w:t xml:space="preserve">. </w:t>
      </w:r>
      <w:proofErr w:type="spellStart"/>
      <w:r>
        <w:t>The</w:t>
      </w:r>
      <w:proofErr w:type="spellEnd"/>
      <w:r>
        <w:t xml:space="preserve"> MIT </w:t>
      </w:r>
      <w:proofErr w:type="spellStart"/>
      <w:r>
        <w:t>Press</w:t>
      </w:r>
      <w:proofErr w:type="spellEnd"/>
      <w:r>
        <w:t xml:space="preserve">. </w:t>
      </w:r>
      <w:hyperlink r:id="rId13" w:history="1">
        <w:r>
          <w:rPr>
            <w:rStyle w:val="MdLink"/>
          </w:rPr>
          <w:t>https://doi.org/10.7551/mitpress/11805.001.0001</w:t>
        </w:r>
      </w:hyperlink>
    </w:p>
    <w:p w14:paraId="4C9E1CBA" w14:textId="77777777" w:rsidR="008004B8" w:rsidRDefault="008004B8">
      <w:pPr>
        <w:pStyle w:val="MdSpace"/>
        <w:spacing w:after="60"/>
      </w:pPr>
    </w:p>
    <w:p w14:paraId="4C9E1CBB" w14:textId="77777777" w:rsidR="008004B8" w:rsidRDefault="00845011">
      <w:pPr>
        <w:pStyle w:val="MdParagraph"/>
      </w:pPr>
      <w:proofErr w:type="spellStart"/>
      <w:r>
        <w:t>European</w:t>
      </w:r>
      <w:proofErr w:type="spellEnd"/>
      <w:r>
        <w:t xml:space="preserve"> Data </w:t>
      </w:r>
      <w:proofErr w:type="spellStart"/>
      <w:r>
        <w:t>Protection</w:t>
      </w:r>
      <w:proofErr w:type="spellEnd"/>
      <w:r>
        <w:t xml:space="preserve"> Board. (2018). </w:t>
      </w:r>
      <w:proofErr w:type="spellStart"/>
      <w:r>
        <w:t>Guidelines</w:t>
      </w:r>
      <w:proofErr w:type="spellEnd"/>
      <w:r>
        <w:t xml:space="preserve"> on </w:t>
      </w:r>
      <w:proofErr w:type="spellStart"/>
      <w:r>
        <w:t>automated</w:t>
      </w:r>
      <w:proofErr w:type="spellEnd"/>
      <w:r>
        <w:t xml:space="preserve"> </w:t>
      </w:r>
      <w:proofErr w:type="spellStart"/>
      <w:r>
        <w:t>individual</w:t>
      </w:r>
      <w:proofErr w:type="spellEnd"/>
      <w:r>
        <w:t xml:space="preserve"> </w:t>
      </w:r>
      <w:proofErr w:type="spellStart"/>
      <w:r>
        <w:t>decision-making</w:t>
      </w:r>
      <w:proofErr w:type="spellEnd"/>
      <w:r>
        <w:t xml:space="preserve"> </w:t>
      </w:r>
      <w:proofErr w:type="spellStart"/>
      <w:r>
        <w:t>and</w:t>
      </w:r>
      <w:proofErr w:type="spellEnd"/>
      <w:r>
        <w:t xml:space="preserve"> </w:t>
      </w:r>
      <w:proofErr w:type="spellStart"/>
      <w:r>
        <w:t>profiling</w:t>
      </w:r>
      <w:proofErr w:type="spellEnd"/>
      <w:r>
        <w:t xml:space="preserve"> </w:t>
      </w:r>
      <w:proofErr w:type="spellStart"/>
      <w:r>
        <w:t>for</w:t>
      </w:r>
      <w:proofErr w:type="spellEnd"/>
      <w:r>
        <w:t xml:space="preserve"> </w:t>
      </w:r>
      <w:proofErr w:type="spellStart"/>
      <w:r>
        <w:t>the</w:t>
      </w:r>
      <w:proofErr w:type="spellEnd"/>
      <w:r>
        <w:t xml:space="preserve"> </w:t>
      </w:r>
      <w:proofErr w:type="spellStart"/>
      <w:r>
        <w:t>purposes</w:t>
      </w:r>
      <w:proofErr w:type="spellEnd"/>
      <w:r>
        <w:t xml:space="preserve"> of </w:t>
      </w:r>
      <w:proofErr w:type="spellStart"/>
      <w:r>
        <w:t>Regulation</w:t>
      </w:r>
      <w:proofErr w:type="spellEnd"/>
      <w:r>
        <w:t xml:space="preserve"> 2016/679. </w:t>
      </w:r>
      <w:hyperlink r:id="rId14" w:history="1">
        <w:r>
          <w:rPr>
            <w:rStyle w:val="MdLink"/>
          </w:rPr>
          <w:t>https://www.edpb.europa.eu/documents/guideline/automated-decision-making-and-profiling_en</w:t>
        </w:r>
      </w:hyperlink>
    </w:p>
    <w:p w14:paraId="4C9E1CBC" w14:textId="77777777" w:rsidR="008004B8" w:rsidRDefault="008004B8">
      <w:pPr>
        <w:pStyle w:val="MdSpace"/>
        <w:spacing w:after="60"/>
      </w:pPr>
    </w:p>
    <w:p w14:paraId="4C9E1CBD" w14:textId="77777777" w:rsidR="008004B8" w:rsidRDefault="00845011">
      <w:pPr>
        <w:pStyle w:val="MdParagraph"/>
      </w:pPr>
      <w:proofErr w:type="spellStart"/>
      <w:r>
        <w:t>Gray</w:t>
      </w:r>
      <w:proofErr w:type="spellEnd"/>
      <w:r>
        <w:t xml:space="preserve">, M. L., &amp; </w:t>
      </w:r>
      <w:proofErr w:type="spellStart"/>
      <w:r>
        <w:t>Suri</w:t>
      </w:r>
      <w:proofErr w:type="spellEnd"/>
      <w:r>
        <w:t xml:space="preserve">, S. (2019). </w:t>
      </w:r>
      <w:proofErr w:type="spellStart"/>
      <w:r>
        <w:t>Ghost</w:t>
      </w:r>
      <w:proofErr w:type="spellEnd"/>
      <w:r>
        <w:t xml:space="preserve"> </w:t>
      </w:r>
      <w:proofErr w:type="spellStart"/>
      <w:r>
        <w:t>work</w:t>
      </w:r>
      <w:proofErr w:type="spellEnd"/>
      <w:r>
        <w:t xml:space="preserve">: How </w:t>
      </w:r>
      <w:proofErr w:type="spellStart"/>
      <w:r>
        <w:t>to</w:t>
      </w:r>
      <w:proofErr w:type="spellEnd"/>
      <w:r>
        <w:t xml:space="preserve"> stop </w:t>
      </w:r>
      <w:proofErr w:type="spellStart"/>
      <w:r>
        <w:t>Silicon</w:t>
      </w:r>
      <w:proofErr w:type="spellEnd"/>
      <w:r>
        <w:t xml:space="preserve"> </w:t>
      </w:r>
      <w:proofErr w:type="spellStart"/>
      <w:r>
        <w:t>Valley</w:t>
      </w:r>
      <w:proofErr w:type="spellEnd"/>
      <w:r>
        <w:t xml:space="preserve"> </w:t>
      </w:r>
      <w:proofErr w:type="spellStart"/>
      <w:r>
        <w:t>from</w:t>
      </w:r>
      <w:proofErr w:type="spellEnd"/>
      <w:r>
        <w:t xml:space="preserve"> </w:t>
      </w:r>
      <w:proofErr w:type="spellStart"/>
      <w:r>
        <w:t>building</w:t>
      </w:r>
      <w:proofErr w:type="spellEnd"/>
      <w:r>
        <w:t xml:space="preserve"> a </w:t>
      </w:r>
      <w:proofErr w:type="spellStart"/>
      <w:r>
        <w:t>new</w:t>
      </w:r>
      <w:proofErr w:type="spellEnd"/>
      <w:r>
        <w:t xml:space="preserve"> global </w:t>
      </w:r>
      <w:proofErr w:type="spellStart"/>
      <w:r>
        <w:t>underclass</w:t>
      </w:r>
      <w:proofErr w:type="spellEnd"/>
      <w:r>
        <w:t xml:space="preserve">. </w:t>
      </w:r>
      <w:proofErr w:type="spellStart"/>
      <w:r>
        <w:t>Houghton</w:t>
      </w:r>
      <w:proofErr w:type="spellEnd"/>
      <w:r>
        <w:t xml:space="preserve"> </w:t>
      </w:r>
      <w:proofErr w:type="spellStart"/>
      <w:r>
        <w:t>Mifflin</w:t>
      </w:r>
      <w:proofErr w:type="spellEnd"/>
      <w:r>
        <w:t xml:space="preserve"> </w:t>
      </w:r>
      <w:proofErr w:type="spellStart"/>
      <w:r>
        <w:t>Harcourt</w:t>
      </w:r>
      <w:proofErr w:type="spellEnd"/>
      <w:r>
        <w:t>.</w:t>
      </w:r>
    </w:p>
    <w:p w14:paraId="4C9E1CBE" w14:textId="77777777" w:rsidR="008004B8" w:rsidRDefault="008004B8">
      <w:pPr>
        <w:pStyle w:val="MdSpace"/>
        <w:spacing w:after="60"/>
      </w:pPr>
    </w:p>
    <w:p w14:paraId="4C9E1CBF" w14:textId="77777777" w:rsidR="008004B8" w:rsidRDefault="00845011">
      <w:pPr>
        <w:pStyle w:val="MdParagraph"/>
      </w:pPr>
      <w:proofErr w:type="spellStart"/>
      <w:r>
        <w:t>Haraway</w:t>
      </w:r>
      <w:proofErr w:type="spellEnd"/>
      <w:r>
        <w:t xml:space="preserve">, D. (1992). </w:t>
      </w:r>
      <w:proofErr w:type="spellStart"/>
      <w:r>
        <w:t>The</w:t>
      </w:r>
      <w:proofErr w:type="spellEnd"/>
      <w:r>
        <w:t xml:space="preserve"> </w:t>
      </w:r>
      <w:proofErr w:type="spellStart"/>
      <w:r>
        <w:t>promises</w:t>
      </w:r>
      <w:proofErr w:type="spellEnd"/>
      <w:r>
        <w:t xml:space="preserve"> of </w:t>
      </w:r>
      <w:proofErr w:type="spellStart"/>
      <w:r>
        <w:t>monsters</w:t>
      </w:r>
      <w:proofErr w:type="spellEnd"/>
      <w:r>
        <w:t xml:space="preserve">: A </w:t>
      </w:r>
      <w:proofErr w:type="spellStart"/>
      <w:r>
        <w:t>regenerative</w:t>
      </w:r>
      <w:proofErr w:type="spellEnd"/>
      <w:r>
        <w:t xml:space="preserve"> </w:t>
      </w:r>
      <w:proofErr w:type="spellStart"/>
      <w:r>
        <w:t>politics</w:t>
      </w:r>
      <w:proofErr w:type="spellEnd"/>
      <w:r>
        <w:t xml:space="preserve"> </w:t>
      </w:r>
      <w:proofErr w:type="spellStart"/>
      <w:r>
        <w:t>for</w:t>
      </w:r>
      <w:proofErr w:type="spellEnd"/>
      <w:r>
        <w:t xml:space="preserve"> </w:t>
      </w:r>
      <w:proofErr w:type="spellStart"/>
      <w:r>
        <w:t>inappropriate</w:t>
      </w:r>
      <w:proofErr w:type="spellEnd"/>
      <w:r>
        <w:t xml:space="preserve">/d </w:t>
      </w:r>
      <w:proofErr w:type="spellStart"/>
      <w:r>
        <w:t>others</w:t>
      </w:r>
      <w:proofErr w:type="spellEnd"/>
      <w:r>
        <w:t xml:space="preserve">. </w:t>
      </w:r>
      <w:proofErr w:type="spellStart"/>
      <w:r>
        <w:t>Cultural</w:t>
      </w:r>
      <w:proofErr w:type="spellEnd"/>
      <w:r>
        <w:t xml:space="preserve"> </w:t>
      </w:r>
      <w:proofErr w:type="spellStart"/>
      <w:r>
        <w:t>Studies</w:t>
      </w:r>
      <w:proofErr w:type="spellEnd"/>
      <w:r>
        <w:t xml:space="preserve">, 6(1), 295–337. </w:t>
      </w:r>
      <w:hyperlink r:id="rId15" w:history="1">
        <w:r>
          <w:rPr>
            <w:rStyle w:val="MdLink"/>
          </w:rPr>
          <w:t>https://pages.mtu.edu/~jdslack/readings/CSReadings/Haraway_Promises_of_Monsters.pdf</w:t>
        </w:r>
      </w:hyperlink>
    </w:p>
    <w:p w14:paraId="4C9E1CC0" w14:textId="77777777" w:rsidR="008004B8" w:rsidRDefault="008004B8">
      <w:pPr>
        <w:pStyle w:val="MdSpace"/>
        <w:spacing w:after="60"/>
      </w:pPr>
    </w:p>
    <w:p w14:paraId="4C9E1CC1" w14:textId="77777777" w:rsidR="008004B8" w:rsidRDefault="00845011">
      <w:pPr>
        <w:pStyle w:val="MdParagraph"/>
      </w:pPr>
      <w:proofErr w:type="spellStart"/>
      <w:r>
        <w:t>Hirvonen</w:t>
      </w:r>
      <w:proofErr w:type="spellEnd"/>
      <w:r>
        <w:t xml:space="preserve">, H. (2024). </w:t>
      </w:r>
      <w:proofErr w:type="spellStart"/>
      <w:r>
        <w:t>Just</w:t>
      </w:r>
      <w:proofErr w:type="spellEnd"/>
      <w:r>
        <w:t xml:space="preserve"> </w:t>
      </w:r>
      <w:proofErr w:type="spellStart"/>
      <w:r>
        <w:t>accountability</w:t>
      </w:r>
      <w:proofErr w:type="spellEnd"/>
      <w:r>
        <w:t xml:space="preserve"> </w:t>
      </w:r>
      <w:proofErr w:type="spellStart"/>
      <w:r>
        <w:t>structures</w:t>
      </w:r>
      <w:proofErr w:type="spellEnd"/>
      <w:r>
        <w:t xml:space="preserve">—A </w:t>
      </w:r>
      <w:proofErr w:type="spellStart"/>
      <w:r>
        <w:t>way</w:t>
      </w:r>
      <w:proofErr w:type="spellEnd"/>
      <w:r>
        <w:t xml:space="preserve"> </w:t>
      </w:r>
      <w:proofErr w:type="spellStart"/>
      <w:r>
        <w:t>to</w:t>
      </w:r>
      <w:proofErr w:type="spellEnd"/>
      <w:r>
        <w:t xml:space="preserve"> </w:t>
      </w:r>
      <w:proofErr w:type="spellStart"/>
      <w:r>
        <w:t>promote</w:t>
      </w:r>
      <w:proofErr w:type="spellEnd"/>
      <w:r>
        <w:t xml:space="preserve"> </w:t>
      </w:r>
      <w:proofErr w:type="spellStart"/>
      <w:r>
        <w:t>the</w:t>
      </w:r>
      <w:proofErr w:type="spellEnd"/>
      <w:r>
        <w:t xml:space="preserve"> </w:t>
      </w:r>
      <w:proofErr w:type="spellStart"/>
      <w:r>
        <w:t>safe</w:t>
      </w:r>
      <w:proofErr w:type="spellEnd"/>
      <w:r>
        <w:t xml:space="preserve"> </w:t>
      </w:r>
      <w:proofErr w:type="spellStart"/>
      <w:r>
        <w:t>use</w:t>
      </w:r>
      <w:proofErr w:type="spellEnd"/>
      <w:r>
        <w:t xml:space="preserve"> of </w:t>
      </w:r>
      <w:proofErr w:type="spellStart"/>
      <w:r>
        <w:t>automated</w:t>
      </w:r>
      <w:proofErr w:type="spellEnd"/>
      <w:r>
        <w:t xml:space="preserve"> </w:t>
      </w:r>
      <w:proofErr w:type="spellStart"/>
      <w:r>
        <w:t>decision-making</w:t>
      </w:r>
      <w:proofErr w:type="spellEnd"/>
      <w:r>
        <w:t xml:space="preserve"> in </w:t>
      </w:r>
      <w:proofErr w:type="spellStart"/>
      <w:r>
        <w:t>the</w:t>
      </w:r>
      <w:proofErr w:type="spellEnd"/>
      <w:r>
        <w:t xml:space="preserve"> </w:t>
      </w:r>
      <w:proofErr w:type="spellStart"/>
      <w:r>
        <w:t>public</w:t>
      </w:r>
      <w:proofErr w:type="spellEnd"/>
      <w:r>
        <w:t xml:space="preserve"> </w:t>
      </w:r>
      <w:proofErr w:type="spellStart"/>
      <w:r>
        <w:t>sector</w:t>
      </w:r>
      <w:proofErr w:type="spellEnd"/>
      <w:r>
        <w:t xml:space="preserve">. AI &amp; SOCIETY, 39, 155–167. </w:t>
      </w:r>
      <w:hyperlink r:id="rId16" w:history="1">
        <w:r>
          <w:rPr>
            <w:rStyle w:val="MdLink"/>
          </w:rPr>
          <w:t>https://doi.org/10.1007/s00146-023-01731-z</w:t>
        </w:r>
      </w:hyperlink>
    </w:p>
    <w:p w14:paraId="4C9E1CC2" w14:textId="77777777" w:rsidR="008004B8" w:rsidRDefault="008004B8">
      <w:pPr>
        <w:pStyle w:val="MdSpace"/>
        <w:spacing w:after="60"/>
      </w:pPr>
    </w:p>
    <w:p w14:paraId="4C9E1CC3" w14:textId="77777777" w:rsidR="008004B8" w:rsidRDefault="00845011">
      <w:pPr>
        <w:pStyle w:val="MdParagraph"/>
      </w:pPr>
      <w:proofErr w:type="spellStart"/>
      <w:r>
        <w:t>Klein</w:t>
      </w:r>
      <w:proofErr w:type="spellEnd"/>
      <w:r>
        <w:t xml:space="preserve">, L., &amp; </w:t>
      </w:r>
      <w:proofErr w:type="spellStart"/>
      <w:r>
        <w:t>D’Ignazio</w:t>
      </w:r>
      <w:proofErr w:type="spellEnd"/>
      <w:r>
        <w:t xml:space="preserve">, C. (2024). </w:t>
      </w:r>
      <w:proofErr w:type="gramStart"/>
      <w:r>
        <w:t>Data</w:t>
      </w:r>
      <w:proofErr w:type="gramEnd"/>
      <w:r>
        <w:t xml:space="preserve"> </w:t>
      </w:r>
      <w:proofErr w:type="spellStart"/>
      <w:r>
        <w:t>feminism</w:t>
      </w:r>
      <w:proofErr w:type="spellEnd"/>
      <w:r>
        <w:t xml:space="preserve"> </w:t>
      </w:r>
      <w:proofErr w:type="spellStart"/>
      <w:r>
        <w:t>for</w:t>
      </w:r>
      <w:proofErr w:type="spellEnd"/>
      <w:r>
        <w:t xml:space="preserve"> AI. </w:t>
      </w:r>
      <w:proofErr w:type="spellStart"/>
      <w:r>
        <w:t>Proceedings</w:t>
      </w:r>
      <w:proofErr w:type="spellEnd"/>
      <w:r>
        <w:t xml:space="preserve"> of </w:t>
      </w:r>
      <w:proofErr w:type="spellStart"/>
      <w:r>
        <w:t>the</w:t>
      </w:r>
      <w:proofErr w:type="spellEnd"/>
      <w:r>
        <w:t xml:space="preserve"> 2024 ACM Conference on </w:t>
      </w:r>
      <w:proofErr w:type="spellStart"/>
      <w:r>
        <w:t>Fairness</w:t>
      </w:r>
      <w:proofErr w:type="spellEnd"/>
      <w:r>
        <w:t xml:space="preserve">, </w:t>
      </w:r>
      <w:proofErr w:type="spellStart"/>
      <w:r>
        <w:t>Accountability</w:t>
      </w:r>
      <w:proofErr w:type="spellEnd"/>
      <w:r>
        <w:t xml:space="preserve">, </w:t>
      </w:r>
      <w:proofErr w:type="spellStart"/>
      <w:r>
        <w:t>and</w:t>
      </w:r>
      <w:proofErr w:type="spellEnd"/>
      <w:r>
        <w:t xml:space="preserve"> </w:t>
      </w:r>
      <w:proofErr w:type="spellStart"/>
      <w:r>
        <w:t>Transparency</w:t>
      </w:r>
      <w:proofErr w:type="spellEnd"/>
      <w:r>
        <w:t xml:space="preserve">. Ön baskı: </w:t>
      </w:r>
      <w:hyperlink r:id="rId17" w:history="1">
        <w:r>
          <w:rPr>
            <w:rStyle w:val="MdLink"/>
          </w:rPr>
          <w:t>https://arxiv.org/html/2405.01286v1</w:t>
        </w:r>
      </w:hyperlink>
    </w:p>
    <w:p w14:paraId="4C9E1CC4" w14:textId="77777777" w:rsidR="008004B8" w:rsidRDefault="008004B8">
      <w:pPr>
        <w:pStyle w:val="MdSpace"/>
        <w:spacing w:after="60"/>
      </w:pPr>
    </w:p>
    <w:p w14:paraId="4C9E1CC5" w14:textId="77777777" w:rsidR="008004B8" w:rsidRDefault="00845011">
      <w:pPr>
        <w:pStyle w:val="MdParagraph"/>
      </w:pPr>
      <w:r>
        <w:t xml:space="preserve">Kong, Y. (2022). </w:t>
      </w:r>
      <w:proofErr w:type="spellStart"/>
      <w:r>
        <w:t>Are</w:t>
      </w:r>
      <w:proofErr w:type="spellEnd"/>
      <w:r>
        <w:t xml:space="preserve"> “</w:t>
      </w:r>
      <w:proofErr w:type="spellStart"/>
      <w:r>
        <w:t>intersectionally</w:t>
      </w:r>
      <w:proofErr w:type="spellEnd"/>
      <w:r>
        <w:t xml:space="preserve"> </w:t>
      </w:r>
      <w:proofErr w:type="spellStart"/>
      <w:r>
        <w:t>fair</w:t>
      </w:r>
      <w:proofErr w:type="spellEnd"/>
      <w:r>
        <w:t xml:space="preserve">” AI </w:t>
      </w:r>
      <w:proofErr w:type="spellStart"/>
      <w:r>
        <w:t>algorithms</w:t>
      </w:r>
      <w:proofErr w:type="spellEnd"/>
      <w:r>
        <w:t xml:space="preserve"> </w:t>
      </w:r>
      <w:proofErr w:type="spellStart"/>
      <w:r>
        <w:t>really</w:t>
      </w:r>
      <w:proofErr w:type="spellEnd"/>
      <w:r>
        <w:t xml:space="preserve"> </w:t>
      </w:r>
      <w:proofErr w:type="spellStart"/>
      <w:r>
        <w:t>fair</w:t>
      </w:r>
      <w:proofErr w:type="spellEnd"/>
      <w:r>
        <w:t xml:space="preserve"> </w:t>
      </w:r>
      <w:proofErr w:type="spellStart"/>
      <w:r>
        <w:t>to</w:t>
      </w:r>
      <w:proofErr w:type="spellEnd"/>
      <w:r>
        <w:t xml:space="preserve"> </w:t>
      </w:r>
      <w:proofErr w:type="spellStart"/>
      <w:r>
        <w:t>women</w:t>
      </w:r>
      <w:proofErr w:type="spellEnd"/>
      <w:r>
        <w:t xml:space="preserve"> of </w:t>
      </w:r>
      <w:proofErr w:type="spellStart"/>
      <w:r>
        <w:t>color</w:t>
      </w:r>
      <w:proofErr w:type="spellEnd"/>
      <w:r>
        <w:t xml:space="preserve">? A </w:t>
      </w:r>
      <w:proofErr w:type="spellStart"/>
      <w:r>
        <w:t>philosophical</w:t>
      </w:r>
      <w:proofErr w:type="spellEnd"/>
      <w:r>
        <w:t xml:space="preserve"> </w:t>
      </w:r>
      <w:proofErr w:type="spellStart"/>
      <w:r>
        <w:t>analysis</w:t>
      </w:r>
      <w:proofErr w:type="spellEnd"/>
      <w:r>
        <w:t xml:space="preserve">. </w:t>
      </w:r>
      <w:proofErr w:type="spellStart"/>
      <w:r>
        <w:t>In</w:t>
      </w:r>
      <w:proofErr w:type="spellEnd"/>
      <w:r>
        <w:t xml:space="preserve"> </w:t>
      </w:r>
      <w:proofErr w:type="spellStart"/>
      <w:r>
        <w:t>Proceedings</w:t>
      </w:r>
      <w:proofErr w:type="spellEnd"/>
      <w:r>
        <w:t xml:space="preserve"> of </w:t>
      </w:r>
      <w:proofErr w:type="spellStart"/>
      <w:r>
        <w:t>the</w:t>
      </w:r>
      <w:proofErr w:type="spellEnd"/>
      <w:r>
        <w:t xml:space="preserve"> 2022 ACM Conference on </w:t>
      </w:r>
      <w:proofErr w:type="spellStart"/>
      <w:r>
        <w:t>Fairness</w:t>
      </w:r>
      <w:proofErr w:type="spellEnd"/>
      <w:r>
        <w:t xml:space="preserve">, </w:t>
      </w:r>
      <w:proofErr w:type="spellStart"/>
      <w:r>
        <w:t>Accountability</w:t>
      </w:r>
      <w:proofErr w:type="spellEnd"/>
      <w:r>
        <w:t xml:space="preserve">, </w:t>
      </w:r>
      <w:proofErr w:type="spellStart"/>
      <w:r>
        <w:t>and</w:t>
      </w:r>
      <w:proofErr w:type="spellEnd"/>
      <w:r>
        <w:t xml:space="preserve"> </w:t>
      </w:r>
      <w:proofErr w:type="spellStart"/>
      <w:r>
        <w:t>Transparency</w:t>
      </w:r>
      <w:proofErr w:type="spellEnd"/>
      <w:r>
        <w:t xml:space="preserve">. </w:t>
      </w:r>
      <w:proofErr w:type="spellStart"/>
      <w:r>
        <w:t>Association</w:t>
      </w:r>
      <w:proofErr w:type="spellEnd"/>
      <w:r>
        <w:t xml:space="preserve"> </w:t>
      </w:r>
      <w:proofErr w:type="spellStart"/>
      <w:r>
        <w:t>for</w:t>
      </w:r>
      <w:proofErr w:type="spellEnd"/>
      <w:r>
        <w:t xml:space="preserve"> Computing </w:t>
      </w:r>
      <w:proofErr w:type="spellStart"/>
      <w:r>
        <w:t>Machinery</w:t>
      </w:r>
      <w:proofErr w:type="spellEnd"/>
      <w:r>
        <w:t xml:space="preserve">. </w:t>
      </w:r>
      <w:hyperlink r:id="rId18" w:history="1">
        <w:r>
          <w:rPr>
            <w:rStyle w:val="MdLink"/>
          </w:rPr>
          <w:t>https://doi.org/10.1145/3531146.3533114</w:t>
        </w:r>
      </w:hyperlink>
    </w:p>
    <w:p w14:paraId="4C9E1CC6" w14:textId="77777777" w:rsidR="008004B8" w:rsidRDefault="008004B8">
      <w:pPr>
        <w:pStyle w:val="MdSpace"/>
        <w:spacing w:after="60"/>
      </w:pPr>
    </w:p>
    <w:p w14:paraId="4C9E1CC7" w14:textId="77777777" w:rsidR="008004B8" w:rsidRDefault="00845011">
      <w:pPr>
        <w:pStyle w:val="MdParagraph"/>
      </w:pPr>
      <w:proofErr w:type="spellStart"/>
      <w:r>
        <w:t>Murray</w:t>
      </w:r>
      <w:proofErr w:type="spellEnd"/>
      <w:r>
        <w:t xml:space="preserve">, A. (2024). </w:t>
      </w:r>
      <w:proofErr w:type="spellStart"/>
      <w:r>
        <w:t>Automated</w:t>
      </w:r>
      <w:proofErr w:type="spellEnd"/>
      <w:r>
        <w:t xml:space="preserve"> </w:t>
      </w:r>
      <w:proofErr w:type="spellStart"/>
      <w:r>
        <w:t>public</w:t>
      </w:r>
      <w:proofErr w:type="spellEnd"/>
      <w:r>
        <w:t xml:space="preserve"> </w:t>
      </w:r>
      <w:proofErr w:type="spellStart"/>
      <w:r>
        <w:t>decision</w:t>
      </w:r>
      <w:proofErr w:type="spellEnd"/>
      <w:r>
        <w:t xml:space="preserve"> </w:t>
      </w:r>
      <w:proofErr w:type="spellStart"/>
      <w:r>
        <w:t>making</w:t>
      </w:r>
      <w:proofErr w:type="spellEnd"/>
      <w:r>
        <w:t xml:space="preserve"> </w:t>
      </w:r>
      <w:proofErr w:type="spellStart"/>
      <w:r>
        <w:t>and</w:t>
      </w:r>
      <w:proofErr w:type="spellEnd"/>
      <w:r>
        <w:t xml:space="preserve"> </w:t>
      </w:r>
      <w:proofErr w:type="spellStart"/>
      <w:r>
        <w:t>the</w:t>
      </w:r>
      <w:proofErr w:type="spellEnd"/>
      <w:r>
        <w:t xml:space="preserve"> </w:t>
      </w:r>
      <w:proofErr w:type="spellStart"/>
      <w:r>
        <w:t>need</w:t>
      </w:r>
      <w:proofErr w:type="spellEnd"/>
      <w:r>
        <w:t xml:space="preserve"> </w:t>
      </w:r>
      <w:proofErr w:type="spellStart"/>
      <w:r>
        <w:t>for</w:t>
      </w:r>
      <w:proofErr w:type="spellEnd"/>
      <w:r>
        <w:t xml:space="preserve"> </w:t>
      </w:r>
      <w:proofErr w:type="spellStart"/>
      <w:r>
        <w:t>regulation</w:t>
      </w:r>
      <w:proofErr w:type="spellEnd"/>
      <w:r>
        <w:t xml:space="preserve">. LSE </w:t>
      </w:r>
      <w:proofErr w:type="spellStart"/>
      <w:r>
        <w:t>Public</w:t>
      </w:r>
      <w:proofErr w:type="spellEnd"/>
      <w:r>
        <w:t xml:space="preserve"> </w:t>
      </w:r>
      <w:proofErr w:type="spellStart"/>
      <w:r>
        <w:t>Policy</w:t>
      </w:r>
      <w:proofErr w:type="spellEnd"/>
      <w:r>
        <w:t xml:space="preserve"> </w:t>
      </w:r>
      <w:proofErr w:type="spellStart"/>
      <w:r>
        <w:t>Review</w:t>
      </w:r>
      <w:proofErr w:type="spellEnd"/>
      <w:r>
        <w:t xml:space="preserve">, 3(3), </w:t>
      </w:r>
      <w:proofErr w:type="spellStart"/>
      <w:r>
        <w:t>Article</w:t>
      </w:r>
      <w:proofErr w:type="spellEnd"/>
      <w:r>
        <w:t xml:space="preserve"> 3. </w:t>
      </w:r>
      <w:hyperlink r:id="rId19" w:history="1">
        <w:r>
          <w:rPr>
            <w:rStyle w:val="MdLink"/>
          </w:rPr>
          <w:t>https://doi.org/10.31389/lseppr.110</w:t>
        </w:r>
      </w:hyperlink>
    </w:p>
    <w:p w14:paraId="4C9E1CC8" w14:textId="77777777" w:rsidR="008004B8" w:rsidRDefault="008004B8">
      <w:pPr>
        <w:pStyle w:val="MdSpace"/>
        <w:spacing w:after="60"/>
      </w:pPr>
    </w:p>
    <w:p w14:paraId="4C9E1CC9" w14:textId="77777777" w:rsidR="008004B8" w:rsidRDefault="00845011">
      <w:pPr>
        <w:pStyle w:val="MdParagraph"/>
      </w:pPr>
      <w:proofErr w:type="spellStart"/>
      <w:r>
        <w:lastRenderedPageBreak/>
        <w:t>Noble</w:t>
      </w:r>
      <w:proofErr w:type="spellEnd"/>
      <w:r>
        <w:t xml:space="preserve">, S. U. (2018). </w:t>
      </w:r>
      <w:proofErr w:type="spellStart"/>
      <w:r>
        <w:t>Algorithms</w:t>
      </w:r>
      <w:proofErr w:type="spellEnd"/>
      <w:r>
        <w:t xml:space="preserve"> of </w:t>
      </w:r>
      <w:proofErr w:type="spellStart"/>
      <w:r>
        <w:t>oppression</w:t>
      </w:r>
      <w:proofErr w:type="spellEnd"/>
      <w:r>
        <w:t xml:space="preserve">: How </w:t>
      </w:r>
      <w:proofErr w:type="spellStart"/>
      <w:r>
        <w:t>search</w:t>
      </w:r>
      <w:proofErr w:type="spellEnd"/>
      <w:r>
        <w:t xml:space="preserve"> </w:t>
      </w:r>
      <w:proofErr w:type="spellStart"/>
      <w:r>
        <w:t>engines</w:t>
      </w:r>
      <w:proofErr w:type="spellEnd"/>
      <w:r>
        <w:t xml:space="preserve"> </w:t>
      </w:r>
      <w:proofErr w:type="spellStart"/>
      <w:r>
        <w:t>reinforce</w:t>
      </w:r>
      <w:proofErr w:type="spellEnd"/>
      <w:r>
        <w:t xml:space="preserve"> </w:t>
      </w:r>
      <w:proofErr w:type="spellStart"/>
      <w:r>
        <w:t>racism</w:t>
      </w:r>
      <w:proofErr w:type="spellEnd"/>
      <w:r>
        <w:t xml:space="preserve">. New York </w:t>
      </w:r>
      <w:proofErr w:type="spellStart"/>
      <w:r>
        <w:t>University</w:t>
      </w:r>
      <w:proofErr w:type="spellEnd"/>
      <w:r>
        <w:t xml:space="preserve"> </w:t>
      </w:r>
      <w:proofErr w:type="spellStart"/>
      <w:r>
        <w:t>Press</w:t>
      </w:r>
      <w:proofErr w:type="spellEnd"/>
      <w:r>
        <w:t>.</w:t>
      </w:r>
    </w:p>
    <w:p w14:paraId="4C9E1CCA" w14:textId="77777777" w:rsidR="008004B8" w:rsidRDefault="008004B8">
      <w:pPr>
        <w:pStyle w:val="MdSpace"/>
        <w:spacing w:after="60"/>
      </w:pPr>
    </w:p>
    <w:p w14:paraId="4C9E1CCB" w14:textId="77777777" w:rsidR="008004B8" w:rsidRDefault="00845011">
      <w:pPr>
        <w:pStyle w:val="MdParagraph"/>
      </w:pPr>
      <w:r>
        <w:t xml:space="preserve">Oswald, M. (2018). </w:t>
      </w:r>
      <w:proofErr w:type="spellStart"/>
      <w:r>
        <w:t>Algorithm-assisted</w:t>
      </w:r>
      <w:proofErr w:type="spellEnd"/>
      <w:r>
        <w:t xml:space="preserve"> </w:t>
      </w:r>
      <w:proofErr w:type="spellStart"/>
      <w:r>
        <w:t>decision-making</w:t>
      </w:r>
      <w:proofErr w:type="spellEnd"/>
      <w:r>
        <w:t xml:space="preserve"> in </w:t>
      </w:r>
      <w:proofErr w:type="spellStart"/>
      <w:r>
        <w:t>the</w:t>
      </w:r>
      <w:proofErr w:type="spellEnd"/>
      <w:r>
        <w:t xml:space="preserve"> </w:t>
      </w:r>
      <w:proofErr w:type="spellStart"/>
      <w:r>
        <w:t>public</w:t>
      </w:r>
      <w:proofErr w:type="spellEnd"/>
      <w:r>
        <w:t xml:space="preserve"> </w:t>
      </w:r>
      <w:proofErr w:type="spellStart"/>
      <w:r>
        <w:t>sector</w:t>
      </w:r>
      <w:proofErr w:type="spellEnd"/>
      <w:r>
        <w:t xml:space="preserve">: A </w:t>
      </w:r>
      <w:proofErr w:type="spellStart"/>
      <w:r>
        <w:t>framework</w:t>
      </w:r>
      <w:proofErr w:type="spellEnd"/>
      <w:r>
        <w:t xml:space="preserve"> </w:t>
      </w:r>
      <w:proofErr w:type="spellStart"/>
      <w:r>
        <w:t>for</w:t>
      </w:r>
      <w:proofErr w:type="spellEnd"/>
      <w:r>
        <w:t xml:space="preserve"> </w:t>
      </w:r>
      <w:proofErr w:type="spellStart"/>
      <w:r>
        <w:t>administrative</w:t>
      </w:r>
      <w:proofErr w:type="spellEnd"/>
      <w:r>
        <w:t xml:space="preserve"> </w:t>
      </w:r>
      <w:proofErr w:type="spellStart"/>
      <w:r>
        <w:t>law</w:t>
      </w:r>
      <w:proofErr w:type="spellEnd"/>
      <w:r>
        <w:t xml:space="preserve">. </w:t>
      </w:r>
      <w:proofErr w:type="spellStart"/>
      <w:r>
        <w:t>Philosophical</w:t>
      </w:r>
      <w:proofErr w:type="spellEnd"/>
      <w:r>
        <w:t xml:space="preserve"> </w:t>
      </w:r>
      <w:proofErr w:type="spellStart"/>
      <w:r>
        <w:t>Transactions</w:t>
      </w:r>
      <w:proofErr w:type="spellEnd"/>
      <w:r>
        <w:t xml:space="preserve"> of </w:t>
      </w:r>
      <w:proofErr w:type="spellStart"/>
      <w:r>
        <w:t>the</w:t>
      </w:r>
      <w:proofErr w:type="spellEnd"/>
      <w:r>
        <w:t xml:space="preserve"> </w:t>
      </w:r>
      <w:proofErr w:type="spellStart"/>
      <w:r>
        <w:t>Royal</w:t>
      </w:r>
      <w:proofErr w:type="spellEnd"/>
      <w:r>
        <w:t xml:space="preserve"> </w:t>
      </w:r>
      <w:proofErr w:type="spellStart"/>
      <w:r>
        <w:t>Society</w:t>
      </w:r>
      <w:proofErr w:type="spellEnd"/>
      <w:r>
        <w:t xml:space="preserve"> A, 376(2128), 20170359. </w:t>
      </w:r>
      <w:hyperlink r:id="rId20" w:history="1">
        <w:r>
          <w:rPr>
            <w:rStyle w:val="MdLink"/>
          </w:rPr>
          <w:t>https://doi.org/10.1098/rsta.2017.0359</w:t>
        </w:r>
      </w:hyperlink>
    </w:p>
    <w:p w14:paraId="4C9E1CCC" w14:textId="77777777" w:rsidR="008004B8" w:rsidRDefault="008004B8">
      <w:pPr>
        <w:pStyle w:val="MdSpace"/>
        <w:spacing w:after="60"/>
      </w:pPr>
    </w:p>
    <w:p w14:paraId="4C9E1CCD" w14:textId="77777777" w:rsidR="008004B8" w:rsidRDefault="00845011">
      <w:pPr>
        <w:pStyle w:val="MdParagraph"/>
      </w:pPr>
      <w:r>
        <w:t xml:space="preserve">Ovalle, A., </w:t>
      </w:r>
      <w:proofErr w:type="spellStart"/>
      <w:r>
        <w:t>Subramonian</w:t>
      </w:r>
      <w:proofErr w:type="spellEnd"/>
      <w:r>
        <w:t xml:space="preserve">, A., </w:t>
      </w:r>
      <w:proofErr w:type="spellStart"/>
      <w:r>
        <w:t>Gautam</w:t>
      </w:r>
      <w:proofErr w:type="spellEnd"/>
      <w:r>
        <w:t xml:space="preserve">, V., </w:t>
      </w:r>
      <w:proofErr w:type="spellStart"/>
      <w:r>
        <w:t>Gee</w:t>
      </w:r>
      <w:proofErr w:type="spellEnd"/>
      <w:r>
        <w:t xml:space="preserve">, G., &amp; Chang, K.-W. (2023). </w:t>
      </w:r>
      <w:proofErr w:type="spellStart"/>
      <w:r>
        <w:t>Factoring</w:t>
      </w:r>
      <w:proofErr w:type="spellEnd"/>
      <w:r>
        <w:t xml:space="preserve"> </w:t>
      </w:r>
      <w:proofErr w:type="spellStart"/>
      <w:r>
        <w:t>the</w:t>
      </w:r>
      <w:proofErr w:type="spellEnd"/>
      <w:r>
        <w:t xml:space="preserve"> </w:t>
      </w:r>
      <w:proofErr w:type="spellStart"/>
      <w:r>
        <w:t>matrix</w:t>
      </w:r>
      <w:proofErr w:type="spellEnd"/>
      <w:r>
        <w:t xml:space="preserve"> of </w:t>
      </w:r>
      <w:proofErr w:type="spellStart"/>
      <w:r>
        <w:t>domination</w:t>
      </w:r>
      <w:proofErr w:type="spellEnd"/>
      <w:r>
        <w:t xml:space="preserve">: A </w:t>
      </w:r>
      <w:proofErr w:type="spellStart"/>
      <w:r>
        <w:t>critical</w:t>
      </w:r>
      <w:proofErr w:type="spellEnd"/>
      <w:r>
        <w:t xml:space="preserve"> </w:t>
      </w:r>
      <w:proofErr w:type="spellStart"/>
      <w:r>
        <w:t>review</w:t>
      </w:r>
      <w:proofErr w:type="spellEnd"/>
      <w:r>
        <w:t xml:space="preserve"> </w:t>
      </w:r>
      <w:proofErr w:type="spellStart"/>
      <w:r>
        <w:t>and</w:t>
      </w:r>
      <w:proofErr w:type="spellEnd"/>
      <w:r>
        <w:t xml:space="preserve"> </w:t>
      </w:r>
      <w:proofErr w:type="spellStart"/>
      <w:r>
        <w:t>reimagination</w:t>
      </w:r>
      <w:proofErr w:type="spellEnd"/>
      <w:r>
        <w:t xml:space="preserve"> of </w:t>
      </w:r>
      <w:proofErr w:type="spellStart"/>
      <w:r>
        <w:t>intersectionality</w:t>
      </w:r>
      <w:proofErr w:type="spellEnd"/>
      <w:r>
        <w:t xml:space="preserve"> in AI </w:t>
      </w:r>
      <w:proofErr w:type="spellStart"/>
      <w:r>
        <w:t>fairness</w:t>
      </w:r>
      <w:proofErr w:type="spellEnd"/>
      <w:r>
        <w:t xml:space="preserve">. </w:t>
      </w:r>
      <w:proofErr w:type="spellStart"/>
      <w:r>
        <w:t>In</w:t>
      </w:r>
      <w:proofErr w:type="spellEnd"/>
      <w:r>
        <w:t xml:space="preserve"> </w:t>
      </w:r>
      <w:proofErr w:type="spellStart"/>
      <w:r>
        <w:t>Proceedings</w:t>
      </w:r>
      <w:proofErr w:type="spellEnd"/>
      <w:r>
        <w:t xml:space="preserve"> of </w:t>
      </w:r>
      <w:proofErr w:type="spellStart"/>
      <w:r>
        <w:t>the</w:t>
      </w:r>
      <w:proofErr w:type="spellEnd"/>
      <w:r>
        <w:t xml:space="preserve"> AAAI/ACM Conference on AI, </w:t>
      </w:r>
      <w:proofErr w:type="spellStart"/>
      <w:r>
        <w:t>Ethics</w:t>
      </w:r>
      <w:proofErr w:type="spellEnd"/>
      <w:r>
        <w:t xml:space="preserve">, </w:t>
      </w:r>
      <w:proofErr w:type="spellStart"/>
      <w:r>
        <w:t>and</w:t>
      </w:r>
      <w:proofErr w:type="spellEnd"/>
      <w:r>
        <w:t xml:space="preserve"> </w:t>
      </w:r>
      <w:proofErr w:type="spellStart"/>
      <w:r>
        <w:t>Society</w:t>
      </w:r>
      <w:proofErr w:type="spellEnd"/>
      <w:r>
        <w:t xml:space="preserve">. </w:t>
      </w:r>
      <w:proofErr w:type="spellStart"/>
      <w:r>
        <w:t>Association</w:t>
      </w:r>
      <w:proofErr w:type="spellEnd"/>
      <w:r>
        <w:t xml:space="preserve"> </w:t>
      </w:r>
      <w:proofErr w:type="spellStart"/>
      <w:r>
        <w:t>for</w:t>
      </w:r>
      <w:proofErr w:type="spellEnd"/>
      <w:r>
        <w:t xml:space="preserve"> Computing </w:t>
      </w:r>
      <w:proofErr w:type="spellStart"/>
      <w:r>
        <w:t>Machinery</w:t>
      </w:r>
      <w:proofErr w:type="spellEnd"/>
      <w:r>
        <w:t xml:space="preserve">. </w:t>
      </w:r>
      <w:hyperlink r:id="rId21" w:history="1">
        <w:r>
          <w:rPr>
            <w:rStyle w:val="MdLink"/>
          </w:rPr>
          <w:t>https://doi.org/10.1145/3600211.3604705</w:t>
        </w:r>
      </w:hyperlink>
    </w:p>
    <w:p w14:paraId="4C9E1CCE" w14:textId="77777777" w:rsidR="008004B8" w:rsidRDefault="008004B8">
      <w:pPr>
        <w:pStyle w:val="MdSpace"/>
        <w:spacing w:after="60"/>
      </w:pPr>
    </w:p>
    <w:p w14:paraId="4C9E1CCF" w14:textId="77777777" w:rsidR="008004B8" w:rsidRDefault="00845011">
      <w:pPr>
        <w:pStyle w:val="MdParagraph"/>
      </w:pPr>
      <w:proofErr w:type="spellStart"/>
      <w:r>
        <w:t>Panarese</w:t>
      </w:r>
      <w:proofErr w:type="spellEnd"/>
      <w:r>
        <w:t xml:space="preserve">, P., </w:t>
      </w:r>
      <w:proofErr w:type="spellStart"/>
      <w:r>
        <w:t>Grasso</w:t>
      </w:r>
      <w:proofErr w:type="spellEnd"/>
      <w:r>
        <w:t xml:space="preserve">, M. M., &amp; </w:t>
      </w:r>
      <w:proofErr w:type="spellStart"/>
      <w:r>
        <w:t>Solinas</w:t>
      </w:r>
      <w:proofErr w:type="spellEnd"/>
      <w:r>
        <w:t xml:space="preserve">, C. (2025). </w:t>
      </w:r>
      <w:proofErr w:type="spellStart"/>
      <w:r>
        <w:t>Algorithmic</w:t>
      </w:r>
      <w:proofErr w:type="spellEnd"/>
      <w:r>
        <w:t xml:space="preserve"> </w:t>
      </w:r>
      <w:proofErr w:type="spellStart"/>
      <w:r>
        <w:t>bias</w:t>
      </w:r>
      <w:proofErr w:type="spellEnd"/>
      <w:r>
        <w:t xml:space="preserve">, </w:t>
      </w:r>
      <w:proofErr w:type="spellStart"/>
      <w:r>
        <w:t>fairness</w:t>
      </w:r>
      <w:proofErr w:type="spellEnd"/>
      <w:r>
        <w:t xml:space="preserve">, </w:t>
      </w:r>
      <w:proofErr w:type="spellStart"/>
      <w:r>
        <w:t>and</w:t>
      </w:r>
      <w:proofErr w:type="spellEnd"/>
      <w:r>
        <w:t xml:space="preserve"> </w:t>
      </w:r>
      <w:proofErr w:type="spellStart"/>
      <w:r>
        <w:t>inclusivity</w:t>
      </w:r>
      <w:proofErr w:type="spellEnd"/>
      <w:r>
        <w:t xml:space="preserve">: A </w:t>
      </w:r>
      <w:proofErr w:type="spellStart"/>
      <w:r>
        <w:t>multilevel</w:t>
      </w:r>
      <w:proofErr w:type="spellEnd"/>
      <w:r>
        <w:t xml:space="preserve"> </w:t>
      </w:r>
      <w:proofErr w:type="spellStart"/>
      <w:r>
        <w:t>framework</w:t>
      </w:r>
      <w:proofErr w:type="spellEnd"/>
      <w:r>
        <w:t xml:space="preserve"> </w:t>
      </w:r>
      <w:proofErr w:type="spellStart"/>
      <w:r>
        <w:t>for</w:t>
      </w:r>
      <w:proofErr w:type="spellEnd"/>
      <w:r>
        <w:t xml:space="preserve"> </w:t>
      </w:r>
      <w:proofErr w:type="spellStart"/>
      <w:r>
        <w:t>justice-oriented</w:t>
      </w:r>
      <w:proofErr w:type="spellEnd"/>
      <w:r>
        <w:t xml:space="preserve"> AI. AI &amp; SOCIETY. </w:t>
      </w:r>
      <w:hyperlink r:id="rId22" w:history="1">
        <w:r>
          <w:rPr>
            <w:rStyle w:val="MdLink"/>
          </w:rPr>
          <w:t>https://doi.org/10.1007/s00146-025-02451-2</w:t>
        </w:r>
      </w:hyperlink>
    </w:p>
    <w:p w14:paraId="4C9E1CD0" w14:textId="77777777" w:rsidR="008004B8" w:rsidRDefault="008004B8">
      <w:pPr>
        <w:pStyle w:val="MdSpace"/>
        <w:spacing w:after="60"/>
      </w:pPr>
    </w:p>
    <w:p w14:paraId="4C9E1CD1" w14:textId="77777777" w:rsidR="008004B8" w:rsidRDefault="00845011">
      <w:pPr>
        <w:pStyle w:val="MdParagraph"/>
      </w:pPr>
      <w:proofErr w:type="spellStart"/>
      <w:r>
        <w:t>Rachovitsa</w:t>
      </w:r>
      <w:proofErr w:type="spellEnd"/>
      <w:r>
        <w:t xml:space="preserve">, A., &amp; Johann, N. (2022). </w:t>
      </w:r>
      <w:proofErr w:type="spellStart"/>
      <w:r>
        <w:t>The</w:t>
      </w:r>
      <w:proofErr w:type="spellEnd"/>
      <w:r>
        <w:t xml:space="preserve"> </w:t>
      </w:r>
      <w:proofErr w:type="spellStart"/>
      <w:r>
        <w:t>human</w:t>
      </w:r>
      <w:proofErr w:type="spellEnd"/>
      <w:r>
        <w:t xml:space="preserve"> </w:t>
      </w:r>
      <w:proofErr w:type="spellStart"/>
      <w:r>
        <w:t>rights</w:t>
      </w:r>
      <w:proofErr w:type="spellEnd"/>
      <w:r>
        <w:t xml:space="preserve"> </w:t>
      </w:r>
      <w:proofErr w:type="spellStart"/>
      <w:r>
        <w:t>implications</w:t>
      </w:r>
      <w:proofErr w:type="spellEnd"/>
      <w:r>
        <w:t xml:space="preserve"> of </w:t>
      </w:r>
      <w:proofErr w:type="spellStart"/>
      <w:r>
        <w:t>the</w:t>
      </w:r>
      <w:proofErr w:type="spellEnd"/>
      <w:r>
        <w:t xml:space="preserve"> </w:t>
      </w:r>
      <w:proofErr w:type="spellStart"/>
      <w:r>
        <w:t>use</w:t>
      </w:r>
      <w:proofErr w:type="spellEnd"/>
      <w:r>
        <w:t xml:space="preserve"> of AI in </w:t>
      </w:r>
      <w:proofErr w:type="spellStart"/>
      <w:r>
        <w:t>the</w:t>
      </w:r>
      <w:proofErr w:type="spellEnd"/>
      <w:r>
        <w:t xml:space="preserve"> </w:t>
      </w:r>
      <w:proofErr w:type="spellStart"/>
      <w:r>
        <w:t>digital</w:t>
      </w:r>
      <w:proofErr w:type="spellEnd"/>
      <w:r>
        <w:t xml:space="preserve"> </w:t>
      </w:r>
      <w:proofErr w:type="spellStart"/>
      <w:r>
        <w:t>welfare</w:t>
      </w:r>
      <w:proofErr w:type="spellEnd"/>
      <w:r>
        <w:t xml:space="preserve"> </w:t>
      </w:r>
      <w:proofErr w:type="spellStart"/>
      <w:r>
        <w:t>state</w:t>
      </w:r>
      <w:proofErr w:type="spellEnd"/>
      <w:r>
        <w:t xml:space="preserve">: </w:t>
      </w:r>
      <w:proofErr w:type="spellStart"/>
      <w:r>
        <w:t>Lessons</w:t>
      </w:r>
      <w:proofErr w:type="spellEnd"/>
      <w:r>
        <w:t xml:space="preserve"> </w:t>
      </w:r>
      <w:proofErr w:type="spellStart"/>
      <w:r>
        <w:t>learned</w:t>
      </w:r>
      <w:proofErr w:type="spellEnd"/>
      <w:r>
        <w:t xml:space="preserve"> </w:t>
      </w:r>
      <w:proofErr w:type="spellStart"/>
      <w:r>
        <w:t>from</w:t>
      </w:r>
      <w:proofErr w:type="spellEnd"/>
      <w:r>
        <w:t xml:space="preserve"> </w:t>
      </w:r>
      <w:proofErr w:type="spellStart"/>
      <w:r>
        <w:t>the</w:t>
      </w:r>
      <w:proofErr w:type="spellEnd"/>
      <w:r>
        <w:t xml:space="preserve"> </w:t>
      </w:r>
      <w:proofErr w:type="spellStart"/>
      <w:r>
        <w:t>Dutch</w:t>
      </w:r>
      <w:proofErr w:type="spellEnd"/>
      <w:r>
        <w:t xml:space="preserve"> </w:t>
      </w:r>
      <w:proofErr w:type="spellStart"/>
      <w:r>
        <w:t>SyRI</w:t>
      </w:r>
      <w:proofErr w:type="spellEnd"/>
      <w:r>
        <w:t xml:space="preserve"> </w:t>
      </w:r>
      <w:proofErr w:type="spellStart"/>
      <w:r>
        <w:t>case</w:t>
      </w:r>
      <w:proofErr w:type="spellEnd"/>
      <w:r>
        <w:t xml:space="preserve">. Human </w:t>
      </w:r>
      <w:proofErr w:type="spellStart"/>
      <w:r>
        <w:t>Rights</w:t>
      </w:r>
      <w:proofErr w:type="spellEnd"/>
      <w:r>
        <w:t xml:space="preserve"> </w:t>
      </w:r>
      <w:proofErr w:type="spellStart"/>
      <w:r>
        <w:t>Law</w:t>
      </w:r>
      <w:proofErr w:type="spellEnd"/>
      <w:r>
        <w:t xml:space="preserve"> </w:t>
      </w:r>
      <w:proofErr w:type="spellStart"/>
      <w:r>
        <w:t>Review</w:t>
      </w:r>
      <w:proofErr w:type="spellEnd"/>
      <w:r>
        <w:t xml:space="preserve">, 22(2), </w:t>
      </w:r>
      <w:proofErr w:type="spellStart"/>
      <w:r>
        <w:t>Article</w:t>
      </w:r>
      <w:proofErr w:type="spellEnd"/>
      <w:r>
        <w:t xml:space="preserve"> ngac010. </w:t>
      </w:r>
      <w:hyperlink r:id="rId23" w:history="1">
        <w:r>
          <w:rPr>
            <w:rStyle w:val="MdLink"/>
          </w:rPr>
          <w:t>https://doi.org/10.1093/hrlr/ngac010</w:t>
        </w:r>
      </w:hyperlink>
    </w:p>
    <w:p w14:paraId="4C9E1CD2" w14:textId="77777777" w:rsidR="008004B8" w:rsidRDefault="008004B8">
      <w:pPr>
        <w:pStyle w:val="MdSpace"/>
        <w:spacing w:after="60"/>
      </w:pPr>
    </w:p>
    <w:p w14:paraId="4C9E1CD3" w14:textId="77777777" w:rsidR="008004B8" w:rsidRDefault="00845011">
      <w:pPr>
        <w:pStyle w:val="MdParagraph"/>
      </w:pPr>
      <w:proofErr w:type="spellStart"/>
      <w:r>
        <w:t>Selbst</w:t>
      </w:r>
      <w:proofErr w:type="spellEnd"/>
      <w:r>
        <w:t xml:space="preserve">, A. D., </w:t>
      </w:r>
      <w:proofErr w:type="spellStart"/>
      <w:r>
        <w:t>Boyd</w:t>
      </w:r>
      <w:proofErr w:type="spellEnd"/>
      <w:r>
        <w:t xml:space="preserve">, D., </w:t>
      </w:r>
      <w:proofErr w:type="spellStart"/>
      <w:r>
        <w:t>Friedler</w:t>
      </w:r>
      <w:proofErr w:type="spellEnd"/>
      <w:r>
        <w:t xml:space="preserve">, S. A., </w:t>
      </w:r>
      <w:proofErr w:type="spellStart"/>
      <w:r>
        <w:t>Venkatasubramanian</w:t>
      </w:r>
      <w:proofErr w:type="spellEnd"/>
      <w:r>
        <w:t xml:space="preserve">, S., &amp; </w:t>
      </w:r>
      <w:proofErr w:type="spellStart"/>
      <w:r>
        <w:t>Vertesi</w:t>
      </w:r>
      <w:proofErr w:type="spellEnd"/>
      <w:r>
        <w:t xml:space="preserve">, J. (2019). </w:t>
      </w:r>
      <w:proofErr w:type="spellStart"/>
      <w:r>
        <w:t>Fairness</w:t>
      </w:r>
      <w:proofErr w:type="spellEnd"/>
      <w:r>
        <w:t xml:space="preserve"> </w:t>
      </w:r>
      <w:proofErr w:type="spellStart"/>
      <w:r>
        <w:t>and</w:t>
      </w:r>
      <w:proofErr w:type="spellEnd"/>
      <w:r>
        <w:t xml:space="preserve"> </w:t>
      </w:r>
      <w:proofErr w:type="spellStart"/>
      <w:r>
        <w:t>abstraction</w:t>
      </w:r>
      <w:proofErr w:type="spellEnd"/>
      <w:r>
        <w:t xml:space="preserve"> in </w:t>
      </w:r>
      <w:proofErr w:type="spellStart"/>
      <w:r>
        <w:t>sociotechnical</w:t>
      </w:r>
      <w:proofErr w:type="spellEnd"/>
      <w:r>
        <w:t xml:space="preserve"> </w:t>
      </w:r>
      <w:proofErr w:type="spellStart"/>
      <w:r>
        <w:t>systems</w:t>
      </w:r>
      <w:proofErr w:type="spellEnd"/>
      <w:r>
        <w:t xml:space="preserve">. </w:t>
      </w:r>
      <w:proofErr w:type="spellStart"/>
      <w:r>
        <w:t>In</w:t>
      </w:r>
      <w:proofErr w:type="spellEnd"/>
      <w:r>
        <w:t xml:space="preserve"> </w:t>
      </w:r>
      <w:proofErr w:type="spellStart"/>
      <w:r>
        <w:t>Proceedings</w:t>
      </w:r>
      <w:proofErr w:type="spellEnd"/>
      <w:r>
        <w:t xml:space="preserve"> of </w:t>
      </w:r>
      <w:proofErr w:type="spellStart"/>
      <w:r>
        <w:t>the</w:t>
      </w:r>
      <w:proofErr w:type="spellEnd"/>
      <w:r>
        <w:t xml:space="preserve"> 2019 Conference on </w:t>
      </w:r>
      <w:proofErr w:type="spellStart"/>
      <w:r>
        <w:t>Fairness</w:t>
      </w:r>
      <w:proofErr w:type="spellEnd"/>
      <w:r>
        <w:t xml:space="preserve">, </w:t>
      </w:r>
      <w:proofErr w:type="spellStart"/>
      <w:r>
        <w:t>Accountability</w:t>
      </w:r>
      <w:proofErr w:type="spellEnd"/>
      <w:r>
        <w:t xml:space="preserve">, </w:t>
      </w:r>
      <w:proofErr w:type="spellStart"/>
      <w:r>
        <w:t>and</w:t>
      </w:r>
      <w:proofErr w:type="spellEnd"/>
      <w:r>
        <w:t xml:space="preserve"> </w:t>
      </w:r>
      <w:proofErr w:type="spellStart"/>
      <w:r>
        <w:t>Transparency</w:t>
      </w:r>
      <w:proofErr w:type="spellEnd"/>
      <w:r>
        <w:t xml:space="preserve"> (</w:t>
      </w:r>
      <w:proofErr w:type="spellStart"/>
      <w:r>
        <w:t>pp</w:t>
      </w:r>
      <w:proofErr w:type="spellEnd"/>
      <w:r>
        <w:t xml:space="preserve">. 59–68). </w:t>
      </w:r>
      <w:proofErr w:type="spellStart"/>
      <w:r>
        <w:t>Association</w:t>
      </w:r>
      <w:proofErr w:type="spellEnd"/>
      <w:r>
        <w:t xml:space="preserve"> </w:t>
      </w:r>
      <w:proofErr w:type="spellStart"/>
      <w:r>
        <w:t>for</w:t>
      </w:r>
      <w:proofErr w:type="spellEnd"/>
      <w:r>
        <w:t xml:space="preserve"> Computing </w:t>
      </w:r>
      <w:proofErr w:type="spellStart"/>
      <w:r>
        <w:t>Machinery</w:t>
      </w:r>
      <w:proofErr w:type="spellEnd"/>
      <w:r>
        <w:t xml:space="preserve">. </w:t>
      </w:r>
      <w:hyperlink r:id="rId24" w:history="1">
        <w:r>
          <w:rPr>
            <w:rStyle w:val="MdLink"/>
          </w:rPr>
          <w:t>https://doi.org/10.1145/3287560.3287598</w:t>
        </w:r>
      </w:hyperlink>
    </w:p>
    <w:p w14:paraId="4C9E1CD4" w14:textId="77777777" w:rsidR="008004B8" w:rsidRDefault="008004B8">
      <w:pPr>
        <w:pStyle w:val="MdSpace"/>
        <w:spacing w:after="60"/>
      </w:pPr>
    </w:p>
    <w:p w14:paraId="4C9E1CD5" w14:textId="77777777" w:rsidR="008004B8" w:rsidRDefault="00845011">
      <w:pPr>
        <w:pStyle w:val="MdParagraph"/>
      </w:pPr>
      <w:r>
        <w:t xml:space="preserve">Smith, D. E. (1987). </w:t>
      </w:r>
      <w:proofErr w:type="spellStart"/>
      <w:r>
        <w:t>The</w:t>
      </w:r>
      <w:proofErr w:type="spellEnd"/>
      <w:r>
        <w:t xml:space="preserve"> </w:t>
      </w:r>
      <w:proofErr w:type="spellStart"/>
      <w:r>
        <w:t>everyday</w:t>
      </w:r>
      <w:proofErr w:type="spellEnd"/>
      <w:r>
        <w:t xml:space="preserve"> </w:t>
      </w:r>
      <w:proofErr w:type="spellStart"/>
      <w:r>
        <w:t>world</w:t>
      </w:r>
      <w:proofErr w:type="spellEnd"/>
      <w:r>
        <w:t xml:space="preserve"> as </w:t>
      </w:r>
      <w:proofErr w:type="spellStart"/>
      <w:r>
        <w:t>problematic</w:t>
      </w:r>
      <w:proofErr w:type="spellEnd"/>
      <w:r>
        <w:t xml:space="preserve">: A feminist </w:t>
      </w:r>
      <w:proofErr w:type="spellStart"/>
      <w:r>
        <w:t>sociology</w:t>
      </w:r>
      <w:proofErr w:type="spellEnd"/>
      <w:r>
        <w:t xml:space="preserve">. </w:t>
      </w:r>
      <w:proofErr w:type="spellStart"/>
      <w:r>
        <w:t>Northeastern</w:t>
      </w:r>
      <w:proofErr w:type="spellEnd"/>
      <w:r>
        <w:t xml:space="preserve"> </w:t>
      </w:r>
      <w:proofErr w:type="spellStart"/>
      <w:r>
        <w:t>University</w:t>
      </w:r>
      <w:proofErr w:type="spellEnd"/>
      <w:r>
        <w:t xml:space="preserve"> </w:t>
      </w:r>
      <w:proofErr w:type="spellStart"/>
      <w:r>
        <w:t>Press</w:t>
      </w:r>
      <w:proofErr w:type="spellEnd"/>
      <w:r>
        <w:t>.</w:t>
      </w:r>
    </w:p>
    <w:p w14:paraId="4C9E1CD6" w14:textId="77777777" w:rsidR="008004B8" w:rsidRDefault="008004B8">
      <w:pPr>
        <w:pStyle w:val="MdSpace"/>
        <w:spacing w:after="60"/>
      </w:pPr>
    </w:p>
    <w:p w14:paraId="4C9E1CD7" w14:textId="77777777" w:rsidR="008004B8" w:rsidRDefault="00845011">
      <w:pPr>
        <w:pStyle w:val="MdParagraph"/>
      </w:pPr>
      <w:proofErr w:type="spellStart"/>
      <w:r>
        <w:t>Ulnicane</w:t>
      </w:r>
      <w:proofErr w:type="spellEnd"/>
      <w:r>
        <w:t xml:space="preserve">, I. (2024). </w:t>
      </w:r>
      <w:proofErr w:type="spellStart"/>
      <w:r>
        <w:t>Intersectionality</w:t>
      </w:r>
      <w:proofErr w:type="spellEnd"/>
      <w:r>
        <w:t xml:space="preserve"> in </w:t>
      </w:r>
      <w:proofErr w:type="spellStart"/>
      <w:r>
        <w:t>artificial</w:t>
      </w:r>
      <w:proofErr w:type="spellEnd"/>
      <w:r>
        <w:t xml:space="preserve"> </w:t>
      </w:r>
      <w:proofErr w:type="spellStart"/>
      <w:r>
        <w:t>intelligence</w:t>
      </w:r>
      <w:proofErr w:type="spellEnd"/>
      <w:r>
        <w:t xml:space="preserve">: </w:t>
      </w:r>
      <w:proofErr w:type="spellStart"/>
      <w:r>
        <w:t>Framing</w:t>
      </w:r>
      <w:proofErr w:type="spellEnd"/>
      <w:r>
        <w:t xml:space="preserve"> </w:t>
      </w:r>
      <w:proofErr w:type="spellStart"/>
      <w:r>
        <w:t>concerns</w:t>
      </w:r>
      <w:proofErr w:type="spellEnd"/>
      <w:r>
        <w:t xml:space="preserve"> </w:t>
      </w:r>
      <w:proofErr w:type="spellStart"/>
      <w:r>
        <w:t>and</w:t>
      </w:r>
      <w:proofErr w:type="spellEnd"/>
      <w:r>
        <w:t xml:space="preserve"> </w:t>
      </w:r>
      <w:proofErr w:type="spellStart"/>
      <w:r>
        <w:t>recommendations</w:t>
      </w:r>
      <w:proofErr w:type="spellEnd"/>
      <w:r>
        <w:t xml:space="preserve"> </w:t>
      </w:r>
      <w:proofErr w:type="spellStart"/>
      <w:r>
        <w:t>for</w:t>
      </w:r>
      <w:proofErr w:type="spellEnd"/>
      <w:r>
        <w:t xml:space="preserve"> </w:t>
      </w:r>
      <w:proofErr w:type="spellStart"/>
      <w:r>
        <w:t>action</w:t>
      </w:r>
      <w:proofErr w:type="spellEnd"/>
      <w:r>
        <w:t xml:space="preserve">. </w:t>
      </w:r>
      <w:proofErr w:type="spellStart"/>
      <w:r>
        <w:t>Social</w:t>
      </w:r>
      <w:proofErr w:type="spellEnd"/>
      <w:r>
        <w:t xml:space="preserve"> </w:t>
      </w:r>
      <w:proofErr w:type="spellStart"/>
      <w:r>
        <w:t>Inclusion</w:t>
      </w:r>
      <w:proofErr w:type="spellEnd"/>
      <w:r>
        <w:t xml:space="preserve">, 12, </w:t>
      </w:r>
      <w:proofErr w:type="spellStart"/>
      <w:r>
        <w:t>Article</w:t>
      </w:r>
      <w:proofErr w:type="spellEnd"/>
      <w:r>
        <w:t xml:space="preserve"> 7543. </w:t>
      </w:r>
      <w:hyperlink r:id="rId25" w:history="1">
        <w:r>
          <w:rPr>
            <w:rStyle w:val="MdLink"/>
          </w:rPr>
          <w:t>https://doi.org/10.17645/si.v12.7543</w:t>
        </w:r>
      </w:hyperlink>
    </w:p>
    <w:p w14:paraId="4C9E1CD8" w14:textId="77777777" w:rsidR="008004B8" w:rsidRDefault="008004B8">
      <w:pPr>
        <w:pStyle w:val="MdSpace"/>
        <w:spacing w:after="60"/>
      </w:pPr>
    </w:p>
    <w:p w14:paraId="4C9E1CD9" w14:textId="77777777" w:rsidR="008004B8" w:rsidRDefault="00845011">
      <w:pPr>
        <w:pStyle w:val="MdParagraph"/>
      </w:pPr>
      <w:proofErr w:type="spellStart"/>
      <w:r>
        <w:t>Vethman</w:t>
      </w:r>
      <w:proofErr w:type="spellEnd"/>
      <w:r>
        <w:t xml:space="preserve">, S., </w:t>
      </w:r>
      <w:proofErr w:type="spellStart"/>
      <w:r>
        <w:t>Smit</w:t>
      </w:r>
      <w:proofErr w:type="spellEnd"/>
      <w:r>
        <w:t xml:space="preserve">, Q. T. S., </w:t>
      </w:r>
      <w:proofErr w:type="spellStart"/>
      <w:r>
        <w:t>van</w:t>
      </w:r>
      <w:proofErr w:type="spellEnd"/>
      <w:r>
        <w:t xml:space="preserve"> </w:t>
      </w:r>
      <w:proofErr w:type="spellStart"/>
      <w:r>
        <w:t>Liebergen</w:t>
      </w:r>
      <w:proofErr w:type="spellEnd"/>
      <w:r>
        <w:t xml:space="preserve">, N. M., &amp; </w:t>
      </w:r>
      <w:proofErr w:type="spellStart"/>
      <w:r>
        <w:t>Veenman</w:t>
      </w:r>
      <w:proofErr w:type="spellEnd"/>
      <w:r>
        <w:t xml:space="preserve">, C. J. (2025). </w:t>
      </w:r>
      <w:proofErr w:type="spellStart"/>
      <w:r>
        <w:t>Fairness</w:t>
      </w:r>
      <w:proofErr w:type="spellEnd"/>
      <w:r>
        <w:t xml:space="preserve"> </w:t>
      </w:r>
      <w:proofErr w:type="spellStart"/>
      <w:r>
        <w:t>beyond</w:t>
      </w:r>
      <w:proofErr w:type="spellEnd"/>
      <w:r>
        <w:t xml:space="preserve"> </w:t>
      </w:r>
      <w:proofErr w:type="spellStart"/>
      <w:r>
        <w:t>the</w:t>
      </w:r>
      <w:proofErr w:type="spellEnd"/>
      <w:r>
        <w:t xml:space="preserve"> </w:t>
      </w:r>
      <w:proofErr w:type="spellStart"/>
      <w:r>
        <w:t>algorithmic</w:t>
      </w:r>
      <w:proofErr w:type="spellEnd"/>
      <w:r>
        <w:t xml:space="preserve"> </w:t>
      </w:r>
      <w:proofErr w:type="spellStart"/>
      <w:r>
        <w:t>frame</w:t>
      </w:r>
      <w:proofErr w:type="spellEnd"/>
      <w:r>
        <w:t xml:space="preserve">: </w:t>
      </w:r>
      <w:proofErr w:type="spellStart"/>
      <w:r>
        <w:t>Actionable</w:t>
      </w:r>
      <w:proofErr w:type="spellEnd"/>
      <w:r>
        <w:t xml:space="preserve"> </w:t>
      </w:r>
      <w:proofErr w:type="spellStart"/>
      <w:r>
        <w:t>recommendations</w:t>
      </w:r>
      <w:proofErr w:type="spellEnd"/>
      <w:r>
        <w:t xml:space="preserve"> </w:t>
      </w:r>
      <w:proofErr w:type="spellStart"/>
      <w:r>
        <w:t>for</w:t>
      </w:r>
      <w:proofErr w:type="spellEnd"/>
      <w:r>
        <w:t xml:space="preserve"> an </w:t>
      </w:r>
      <w:proofErr w:type="spellStart"/>
      <w:r>
        <w:t>intersectional</w:t>
      </w:r>
      <w:proofErr w:type="spellEnd"/>
      <w:r>
        <w:t xml:space="preserve"> </w:t>
      </w:r>
      <w:proofErr w:type="spellStart"/>
      <w:r>
        <w:t>approach</w:t>
      </w:r>
      <w:proofErr w:type="spellEnd"/>
      <w:r>
        <w:t xml:space="preserve">. </w:t>
      </w:r>
      <w:proofErr w:type="spellStart"/>
      <w:r>
        <w:t>In</w:t>
      </w:r>
      <w:proofErr w:type="spellEnd"/>
      <w:r>
        <w:t xml:space="preserve"> </w:t>
      </w:r>
      <w:proofErr w:type="spellStart"/>
      <w:r>
        <w:t>FAccT</w:t>
      </w:r>
      <w:proofErr w:type="spellEnd"/>
      <w:r>
        <w:t xml:space="preserve"> ’25: </w:t>
      </w:r>
      <w:proofErr w:type="spellStart"/>
      <w:r>
        <w:t>Proceedings</w:t>
      </w:r>
      <w:proofErr w:type="spellEnd"/>
      <w:r>
        <w:t xml:space="preserve"> of </w:t>
      </w:r>
      <w:proofErr w:type="spellStart"/>
      <w:r>
        <w:t>the</w:t>
      </w:r>
      <w:proofErr w:type="spellEnd"/>
      <w:r>
        <w:t xml:space="preserve"> 2025 ACM Conference on </w:t>
      </w:r>
      <w:proofErr w:type="spellStart"/>
      <w:r>
        <w:t>Fairness</w:t>
      </w:r>
      <w:proofErr w:type="spellEnd"/>
      <w:r>
        <w:t xml:space="preserve">, </w:t>
      </w:r>
      <w:proofErr w:type="spellStart"/>
      <w:r>
        <w:t>Accountability</w:t>
      </w:r>
      <w:proofErr w:type="spellEnd"/>
      <w:r>
        <w:t xml:space="preserve">, </w:t>
      </w:r>
      <w:proofErr w:type="spellStart"/>
      <w:r>
        <w:t>and</w:t>
      </w:r>
      <w:proofErr w:type="spellEnd"/>
      <w:r>
        <w:t xml:space="preserve"> </w:t>
      </w:r>
      <w:proofErr w:type="spellStart"/>
      <w:r>
        <w:t>Transparency</w:t>
      </w:r>
      <w:proofErr w:type="spellEnd"/>
      <w:r>
        <w:t xml:space="preserve"> (</w:t>
      </w:r>
      <w:proofErr w:type="spellStart"/>
      <w:r>
        <w:t>pp</w:t>
      </w:r>
      <w:proofErr w:type="spellEnd"/>
      <w:r>
        <w:t xml:space="preserve">. 3276–3290). </w:t>
      </w:r>
      <w:proofErr w:type="spellStart"/>
      <w:r>
        <w:t>Association</w:t>
      </w:r>
      <w:proofErr w:type="spellEnd"/>
      <w:r>
        <w:t xml:space="preserve"> </w:t>
      </w:r>
      <w:proofErr w:type="spellStart"/>
      <w:r>
        <w:t>for</w:t>
      </w:r>
      <w:proofErr w:type="spellEnd"/>
      <w:r>
        <w:t xml:space="preserve"> Computing </w:t>
      </w:r>
      <w:proofErr w:type="spellStart"/>
      <w:r>
        <w:t>Machinery</w:t>
      </w:r>
      <w:proofErr w:type="spellEnd"/>
      <w:r>
        <w:t xml:space="preserve">. </w:t>
      </w:r>
      <w:hyperlink r:id="rId26" w:history="1">
        <w:r>
          <w:rPr>
            <w:rStyle w:val="MdLink"/>
          </w:rPr>
          <w:t>https://doi.org/10.1145/3715275.3732210</w:t>
        </w:r>
      </w:hyperlink>
    </w:p>
    <w:p w14:paraId="4C9E1CDA" w14:textId="77777777" w:rsidR="008004B8" w:rsidRDefault="008004B8">
      <w:pPr>
        <w:pStyle w:val="MdSpace"/>
        <w:spacing w:after="60"/>
      </w:pPr>
    </w:p>
    <w:p w14:paraId="4C9E1CDB" w14:textId="77777777" w:rsidR="008004B8" w:rsidRDefault="00845011">
      <w:pPr>
        <w:pStyle w:val="MdParagraph"/>
      </w:pPr>
      <w:r>
        <w:t xml:space="preserve">Williams, R. (2021). </w:t>
      </w:r>
      <w:proofErr w:type="spellStart"/>
      <w:r>
        <w:t>Rethinking</w:t>
      </w:r>
      <w:proofErr w:type="spellEnd"/>
      <w:r>
        <w:t xml:space="preserve"> </w:t>
      </w:r>
      <w:proofErr w:type="spellStart"/>
      <w:r>
        <w:t>administrative</w:t>
      </w:r>
      <w:proofErr w:type="spellEnd"/>
      <w:r>
        <w:t xml:space="preserve"> </w:t>
      </w:r>
      <w:proofErr w:type="spellStart"/>
      <w:r>
        <w:t>law</w:t>
      </w:r>
      <w:proofErr w:type="spellEnd"/>
      <w:r>
        <w:t xml:space="preserve"> </w:t>
      </w:r>
      <w:proofErr w:type="spellStart"/>
      <w:r>
        <w:t>for</w:t>
      </w:r>
      <w:proofErr w:type="spellEnd"/>
      <w:r>
        <w:t xml:space="preserve"> </w:t>
      </w:r>
      <w:proofErr w:type="spellStart"/>
      <w:r>
        <w:t>algorithmic</w:t>
      </w:r>
      <w:proofErr w:type="spellEnd"/>
      <w:r>
        <w:t xml:space="preserve"> </w:t>
      </w:r>
      <w:proofErr w:type="spellStart"/>
      <w:r>
        <w:t>decision</w:t>
      </w:r>
      <w:proofErr w:type="spellEnd"/>
      <w:r>
        <w:t xml:space="preserve"> </w:t>
      </w:r>
      <w:proofErr w:type="spellStart"/>
      <w:r>
        <w:t>making</w:t>
      </w:r>
      <w:proofErr w:type="spellEnd"/>
      <w:r>
        <w:t xml:space="preserve">. Oxford </w:t>
      </w:r>
      <w:proofErr w:type="spellStart"/>
      <w:r>
        <w:t>Journal</w:t>
      </w:r>
      <w:proofErr w:type="spellEnd"/>
      <w:r>
        <w:t xml:space="preserve"> of Legal </w:t>
      </w:r>
      <w:proofErr w:type="spellStart"/>
      <w:r>
        <w:t>Studies</w:t>
      </w:r>
      <w:proofErr w:type="spellEnd"/>
      <w:r>
        <w:t xml:space="preserve">, 42(2), 468–494. </w:t>
      </w:r>
      <w:hyperlink r:id="rId27" w:history="1">
        <w:r>
          <w:rPr>
            <w:rStyle w:val="MdLink"/>
          </w:rPr>
          <w:t>https://doi.org/10.1093/ojls/gqab032</w:t>
        </w:r>
      </w:hyperlink>
    </w:p>
    <w:p w14:paraId="4C9E1CDC" w14:textId="77777777" w:rsidR="008004B8" w:rsidRDefault="008004B8">
      <w:pPr>
        <w:pStyle w:val="MdSpace"/>
        <w:spacing w:after="60"/>
      </w:pPr>
    </w:p>
    <w:p w14:paraId="4C9E1CDD" w14:textId="77777777" w:rsidR="008004B8" w:rsidRDefault="00845011">
      <w:pPr>
        <w:pStyle w:val="MdParagraph"/>
      </w:pPr>
      <w:proofErr w:type="spellStart"/>
      <w:r>
        <w:t>Wolswinkel</w:t>
      </w:r>
      <w:proofErr w:type="spellEnd"/>
      <w:r>
        <w:t xml:space="preserve">, J. (2022). </w:t>
      </w:r>
      <w:proofErr w:type="spellStart"/>
      <w:r>
        <w:t>Artificial</w:t>
      </w:r>
      <w:proofErr w:type="spellEnd"/>
      <w:r>
        <w:t xml:space="preserve"> </w:t>
      </w:r>
      <w:proofErr w:type="spellStart"/>
      <w:r>
        <w:t>intelligence</w:t>
      </w:r>
      <w:proofErr w:type="spellEnd"/>
      <w:r>
        <w:t xml:space="preserve"> </w:t>
      </w:r>
      <w:proofErr w:type="spellStart"/>
      <w:r>
        <w:t>and</w:t>
      </w:r>
      <w:proofErr w:type="spellEnd"/>
      <w:r>
        <w:t xml:space="preserve"> </w:t>
      </w:r>
      <w:proofErr w:type="spellStart"/>
      <w:r>
        <w:t>administrative</w:t>
      </w:r>
      <w:proofErr w:type="spellEnd"/>
      <w:r>
        <w:t xml:space="preserve"> </w:t>
      </w:r>
      <w:proofErr w:type="spellStart"/>
      <w:r>
        <w:t>law</w:t>
      </w:r>
      <w:proofErr w:type="spellEnd"/>
      <w:r>
        <w:t xml:space="preserve">: </w:t>
      </w:r>
      <w:proofErr w:type="spellStart"/>
      <w:r>
        <w:t>Comparative</w:t>
      </w:r>
      <w:proofErr w:type="spellEnd"/>
      <w:r>
        <w:t xml:space="preserve"> </w:t>
      </w:r>
      <w:proofErr w:type="spellStart"/>
      <w:r>
        <w:t>study</w:t>
      </w:r>
      <w:proofErr w:type="spellEnd"/>
      <w:r>
        <w:t xml:space="preserve"> on </w:t>
      </w:r>
      <w:proofErr w:type="spellStart"/>
      <w:r>
        <w:t>administrative</w:t>
      </w:r>
      <w:proofErr w:type="spellEnd"/>
      <w:r>
        <w:t xml:space="preserve"> </w:t>
      </w:r>
      <w:proofErr w:type="spellStart"/>
      <w:r>
        <w:t>law</w:t>
      </w:r>
      <w:proofErr w:type="spellEnd"/>
      <w:r>
        <w:t xml:space="preserve"> </w:t>
      </w:r>
      <w:proofErr w:type="spellStart"/>
      <w:r>
        <w:t>and</w:t>
      </w:r>
      <w:proofErr w:type="spellEnd"/>
      <w:r>
        <w:t xml:space="preserve"> </w:t>
      </w:r>
      <w:proofErr w:type="spellStart"/>
      <w:r>
        <w:t>the</w:t>
      </w:r>
      <w:proofErr w:type="spellEnd"/>
      <w:r>
        <w:t xml:space="preserve"> </w:t>
      </w:r>
      <w:proofErr w:type="spellStart"/>
      <w:r>
        <w:t>use</w:t>
      </w:r>
      <w:proofErr w:type="spellEnd"/>
      <w:r>
        <w:t xml:space="preserve"> of </w:t>
      </w:r>
      <w:proofErr w:type="spellStart"/>
      <w:r>
        <w:t>artificial</w:t>
      </w:r>
      <w:proofErr w:type="spellEnd"/>
      <w:r>
        <w:t xml:space="preserve"> </w:t>
      </w:r>
      <w:proofErr w:type="spellStart"/>
      <w:r>
        <w:t>intelligence</w:t>
      </w:r>
      <w:proofErr w:type="spellEnd"/>
      <w:r>
        <w:t xml:space="preserve"> </w:t>
      </w:r>
      <w:proofErr w:type="spellStart"/>
      <w:r>
        <w:t>and</w:t>
      </w:r>
      <w:proofErr w:type="spellEnd"/>
      <w:r>
        <w:t xml:space="preserve"> </w:t>
      </w:r>
      <w:proofErr w:type="spellStart"/>
      <w:r>
        <w:t>other</w:t>
      </w:r>
      <w:proofErr w:type="spellEnd"/>
      <w:r>
        <w:t xml:space="preserve"> </w:t>
      </w:r>
      <w:proofErr w:type="spellStart"/>
      <w:r>
        <w:t>algorithmic</w:t>
      </w:r>
      <w:proofErr w:type="spellEnd"/>
      <w:r>
        <w:t xml:space="preserve"> </w:t>
      </w:r>
      <w:proofErr w:type="spellStart"/>
      <w:r>
        <w:t>systems</w:t>
      </w:r>
      <w:proofErr w:type="spellEnd"/>
      <w:r>
        <w:t xml:space="preserve"> in </w:t>
      </w:r>
      <w:proofErr w:type="spellStart"/>
      <w:r>
        <w:t>administrative</w:t>
      </w:r>
      <w:proofErr w:type="spellEnd"/>
      <w:r>
        <w:t xml:space="preserve"> </w:t>
      </w:r>
      <w:proofErr w:type="spellStart"/>
      <w:r>
        <w:t>decision-making</w:t>
      </w:r>
      <w:proofErr w:type="spellEnd"/>
      <w:r>
        <w:t xml:space="preserve"> in </w:t>
      </w:r>
      <w:proofErr w:type="spellStart"/>
      <w:r>
        <w:t>the</w:t>
      </w:r>
      <w:proofErr w:type="spellEnd"/>
      <w:r>
        <w:t xml:space="preserve"> </w:t>
      </w:r>
      <w:proofErr w:type="spellStart"/>
      <w:r>
        <w:t>member</w:t>
      </w:r>
      <w:proofErr w:type="spellEnd"/>
      <w:r>
        <w:t xml:space="preserve"> </w:t>
      </w:r>
      <w:proofErr w:type="spellStart"/>
      <w:r>
        <w:t>states</w:t>
      </w:r>
      <w:proofErr w:type="spellEnd"/>
      <w:r>
        <w:t xml:space="preserve"> of </w:t>
      </w:r>
      <w:proofErr w:type="spellStart"/>
      <w:r>
        <w:t>the</w:t>
      </w:r>
      <w:proofErr w:type="spellEnd"/>
      <w:r>
        <w:t xml:space="preserve"> </w:t>
      </w:r>
      <w:proofErr w:type="spellStart"/>
      <w:r>
        <w:t>Council</w:t>
      </w:r>
      <w:proofErr w:type="spellEnd"/>
      <w:r>
        <w:t xml:space="preserve"> of Europe. </w:t>
      </w:r>
      <w:proofErr w:type="spellStart"/>
      <w:r>
        <w:t>Council</w:t>
      </w:r>
      <w:proofErr w:type="spellEnd"/>
      <w:r>
        <w:t xml:space="preserve"> of Europe, </w:t>
      </w:r>
      <w:proofErr w:type="spellStart"/>
      <w:r>
        <w:t>European</w:t>
      </w:r>
      <w:proofErr w:type="spellEnd"/>
      <w:r>
        <w:t xml:space="preserve"> </w:t>
      </w:r>
      <w:proofErr w:type="spellStart"/>
      <w:r>
        <w:t>Committee</w:t>
      </w:r>
      <w:proofErr w:type="spellEnd"/>
      <w:r>
        <w:t xml:space="preserve"> on Legal </w:t>
      </w:r>
      <w:proofErr w:type="spellStart"/>
      <w:r>
        <w:t>Co-operation</w:t>
      </w:r>
      <w:proofErr w:type="spellEnd"/>
      <w:r>
        <w:t xml:space="preserve">. </w:t>
      </w:r>
      <w:hyperlink r:id="rId28" w:history="1">
        <w:r>
          <w:rPr>
            <w:rStyle w:val="MdLink"/>
          </w:rPr>
          <w:t>https://www.coe.int/documents/22298481/0/CDCJ%282022%2931E+-+FINAL+6.pdf/4cb20e4b-3da9-d4d4-2da0-65c11cd16116?t=1670943260563</w:t>
        </w:r>
      </w:hyperlink>
    </w:p>
    <w:p w14:paraId="4C9E1CDE" w14:textId="77777777" w:rsidR="008004B8" w:rsidRDefault="008004B8">
      <w:pPr>
        <w:pStyle w:val="MdSpace"/>
        <w:spacing w:after="60"/>
      </w:pPr>
    </w:p>
    <w:p w14:paraId="4C9E1CDF" w14:textId="77777777" w:rsidR="008004B8" w:rsidRDefault="00845011">
      <w:pPr>
        <w:pStyle w:val="MdParagraph"/>
      </w:pPr>
      <w:proofErr w:type="spellStart"/>
      <w:r>
        <w:t>European</w:t>
      </w:r>
      <w:proofErr w:type="spellEnd"/>
      <w:r>
        <w:t xml:space="preserve"> Data </w:t>
      </w:r>
      <w:proofErr w:type="spellStart"/>
      <w:r>
        <w:t>Protection</w:t>
      </w:r>
      <w:proofErr w:type="spellEnd"/>
      <w:r>
        <w:t xml:space="preserve"> Board. (2018). </w:t>
      </w:r>
      <w:proofErr w:type="spellStart"/>
      <w:r>
        <w:t>Guidelines</w:t>
      </w:r>
      <w:proofErr w:type="spellEnd"/>
      <w:r>
        <w:t xml:space="preserve"> on </w:t>
      </w:r>
      <w:proofErr w:type="spellStart"/>
      <w:r>
        <w:t>automated</w:t>
      </w:r>
      <w:proofErr w:type="spellEnd"/>
      <w:r>
        <w:t xml:space="preserve"> </w:t>
      </w:r>
      <w:proofErr w:type="spellStart"/>
      <w:r>
        <w:t>individual</w:t>
      </w:r>
      <w:proofErr w:type="spellEnd"/>
      <w:r>
        <w:t xml:space="preserve"> </w:t>
      </w:r>
      <w:proofErr w:type="spellStart"/>
      <w:r>
        <w:t>decision-making</w:t>
      </w:r>
      <w:proofErr w:type="spellEnd"/>
      <w:r>
        <w:t xml:space="preserve"> </w:t>
      </w:r>
      <w:proofErr w:type="spellStart"/>
      <w:r>
        <w:t>and</w:t>
      </w:r>
      <w:proofErr w:type="spellEnd"/>
      <w:r>
        <w:t xml:space="preserve"> </w:t>
      </w:r>
      <w:proofErr w:type="spellStart"/>
      <w:r>
        <w:t>profiling</w:t>
      </w:r>
      <w:proofErr w:type="spellEnd"/>
      <w:r>
        <w:t xml:space="preserve"> </w:t>
      </w:r>
      <w:proofErr w:type="spellStart"/>
      <w:r>
        <w:t>for</w:t>
      </w:r>
      <w:proofErr w:type="spellEnd"/>
      <w:r>
        <w:t xml:space="preserve"> </w:t>
      </w:r>
      <w:proofErr w:type="spellStart"/>
      <w:r>
        <w:t>the</w:t>
      </w:r>
      <w:proofErr w:type="spellEnd"/>
      <w:r>
        <w:t xml:space="preserve"> </w:t>
      </w:r>
      <w:proofErr w:type="spellStart"/>
      <w:r>
        <w:t>purposes</w:t>
      </w:r>
      <w:proofErr w:type="spellEnd"/>
      <w:r>
        <w:t xml:space="preserve"> of </w:t>
      </w:r>
      <w:proofErr w:type="spellStart"/>
      <w:r>
        <w:t>Regulation</w:t>
      </w:r>
      <w:proofErr w:type="spellEnd"/>
      <w:r>
        <w:t xml:space="preserve"> 2016/679. </w:t>
      </w:r>
      <w:hyperlink r:id="rId29" w:history="1">
        <w:r>
          <w:rPr>
            <w:rStyle w:val="MdLink"/>
          </w:rPr>
          <w:t>https://www.edpb.europa.eu/documents/guideline/automated-decision-making-and-profiling_en</w:t>
        </w:r>
      </w:hyperlink>
    </w:p>
    <w:p w14:paraId="4C9E1CE0" w14:textId="77777777" w:rsidR="008004B8" w:rsidRDefault="008004B8">
      <w:pPr>
        <w:pStyle w:val="MdSpace"/>
        <w:spacing w:after="60"/>
      </w:pPr>
    </w:p>
    <w:p w14:paraId="4C9E1CE1" w14:textId="77777777" w:rsidR="008004B8" w:rsidRDefault="00845011">
      <w:pPr>
        <w:pStyle w:val="MdParagraph"/>
      </w:pPr>
      <w:proofErr w:type="spellStart"/>
      <w:r>
        <w:t>European</w:t>
      </w:r>
      <w:proofErr w:type="spellEnd"/>
      <w:r>
        <w:t xml:space="preserve"> </w:t>
      </w:r>
      <w:proofErr w:type="spellStart"/>
      <w:r>
        <w:t>Union</w:t>
      </w:r>
      <w:proofErr w:type="spellEnd"/>
      <w:r>
        <w:t xml:space="preserve">. (2016). </w:t>
      </w:r>
      <w:proofErr w:type="spellStart"/>
      <w:r>
        <w:t>Regulation</w:t>
      </w:r>
      <w:proofErr w:type="spellEnd"/>
      <w:r>
        <w:t xml:space="preserve"> (EU) 2016/679 of </w:t>
      </w:r>
      <w:proofErr w:type="spellStart"/>
      <w:r>
        <w:t>the</w:t>
      </w:r>
      <w:proofErr w:type="spellEnd"/>
      <w:r>
        <w:t xml:space="preserve"> </w:t>
      </w:r>
      <w:proofErr w:type="spellStart"/>
      <w:r>
        <w:t>European</w:t>
      </w:r>
      <w:proofErr w:type="spellEnd"/>
      <w:r>
        <w:t xml:space="preserve"> </w:t>
      </w:r>
      <w:proofErr w:type="spellStart"/>
      <w:r>
        <w:t>Parliament</w:t>
      </w:r>
      <w:proofErr w:type="spellEnd"/>
      <w:r>
        <w:t xml:space="preserve"> </w:t>
      </w:r>
      <w:proofErr w:type="spellStart"/>
      <w:r>
        <w:t>and</w:t>
      </w:r>
      <w:proofErr w:type="spellEnd"/>
      <w:r>
        <w:t xml:space="preserve"> of </w:t>
      </w:r>
      <w:proofErr w:type="spellStart"/>
      <w:r>
        <w:t>the</w:t>
      </w:r>
      <w:proofErr w:type="spellEnd"/>
      <w:r>
        <w:t xml:space="preserve"> </w:t>
      </w:r>
      <w:proofErr w:type="spellStart"/>
      <w:r>
        <w:t>Council</w:t>
      </w:r>
      <w:proofErr w:type="spellEnd"/>
      <w:r>
        <w:t xml:space="preserve"> (General Data </w:t>
      </w:r>
      <w:proofErr w:type="spellStart"/>
      <w:r>
        <w:t>Protection</w:t>
      </w:r>
      <w:proofErr w:type="spellEnd"/>
      <w:r>
        <w:t xml:space="preserve"> </w:t>
      </w:r>
      <w:proofErr w:type="spellStart"/>
      <w:r>
        <w:t>Regulation</w:t>
      </w:r>
      <w:proofErr w:type="spellEnd"/>
      <w:r>
        <w:t>). EUR-</w:t>
      </w:r>
      <w:proofErr w:type="spellStart"/>
      <w:r>
        <w:t>Lex</w:t>
      </w:r>
      <w:proofErr w:type="spellEnd"/>
      <w:r>
        <w:t xml:space="preserve">. </w:t>
      </w:r>
      <w:hyperlink r:id="rId30" w:history="1">
        <w:r>
          <w:rPr>
            <w:rStyle w:val="MdLink"/>
          </w:rPr>
          <w:t>https://eur-lex.europa.eu/eli/reg/2016/679/oj</w:t>
        </w:r>
      </w:hyperlink>
    </w:p>
    <w:p w14:paraId="4C9E1CE2" w14:textId="77777777" w:rsidR="008004B8" w:rsidRDefault="008004B8">
      <w:pPr>
        <w:pStyle w:val="MdSpace"/>
        <w:spacing w:after="60"/>
      </w:pPr>
    </w:p>
    <w:p w14:paraId="4C9E1CE3" w14:textId="77777777" w:rsidR="008004B8" w:rsidRDefault="00845011">
      <w:pPr>
        <w:pStyle w:val="MdParagraph"/>
      </w:pPr>
      <w:proofErr w:type="spellStart"/>
      <w:r>
        <w:t>European</w:t>
      </w:r>
      <w:proofErr w:type="spellEnd"/>
      <w:r>
        <w:t xml:space="preserve"> </w:t>
      </w:r>
      <w:proofErr w:type="spellStart"/>
      <w:r>
        <w:t>Union</w:t>
      </w:r>
      <w:proofErr w:type="spellEnd"/>
      <w:r>
        <w:t xml:space="preserve">. (2022). </w:t>
      </w:r>
      <w:proofErr w:type="spellStart"/>
      <w:r>
        <w:t>Proposal</w:t>
      </w:r>
      <w:proofErr w:type="spellEnd"/>
      <w:r>
        <w:t xml:space="preserve"> </w:t>
      </w:r>
      <w:proofErr w:type="spellStart"/>
      <w:r>
        <w:t>for</w:t>
      </w:r>
      <w:proofErr w:type="spellEnd"/>
      <w:r>
        <w:t xml:space="preserve"> a Directive on </w:t>
      </w:r>
      <w:proofErr w:type="spellStart"/>
      <w:r>
        <w:t>adapting</w:t>
      </w:r>
      <w:proofErr w:type="spellEnd"/>
      <w:r>
        <w:t xml:space="preserve"> </w:t>
      </w:r>
      <w:proofErr w:type="spellStart"/>
      <w:r>
        <w:t>non-contractual</w:t>
      </w:r>
      <w:proofErr w:type="spellEnd"/>
      <w:r>
        <w:t xml:space="preserve"> </w:t>
      </w:r>
      <w:proofErr w:type="spellStart"/>
      <w:r>
        <w:t>civil</w:t>
      </w:r>
      <w:proofErr w:type="spellEnd"/>
      <w:r>
        <w:t xml:space="preserve"> </w:t>
      </w:r>
      <w:proofErr w:type="spellStart"/>
      <w:r>
        <w:t>liability</w:t>
      </w:r>
      <w:proofErr w:type="spellEnd"/>
      <w:r>
        <w:t xml:space="preserve"> </w:t>
      </w:r>
      <w:proofErr w:type="spellStart"/>
      <w:r>
        <w:t>rules</w:t>
      </w:r>
      <w:proofErr w:type="spellEnd"/>
      <w:r>
        <w:t xml:space="preserve"> </w:t>
      </w:r>
      <w:proofErr w:type="spellStart"/>
      <w:r>
        <w:t>to</w:t>
      </w:r>
      <w:proofErr w:type="spellEnd"/>
      <w:r>
        <w:t xml:space="preserve"> </w:t>
      </w:r>
      <w:proofErr w:type="spellStart"/>
      <w:r>
        <w:t>artificial</w:t>
      </w:r>
      <w:proofErr w:type="spellEnd"/>
      <w:r>
        <w:t xml:space="preserve"> </w:t>
      </w:r>
      <w:proofErr w:type="spellStart"/>
      <w:r>
        <w:t>intelligence</w:t>
      </w:r>
      <w:proofErr w:type="spellEnd"/>
      <w:r>
        <w:t xml:space="preserve"> (AI </w:t>
      </w:r>
      <w:proofErr w:type="spellStart"/>
      <w:r>
        <w:t>Liability</w:t>
      </w:r>
      <w:proofErr w:type="spellEnd"/>
      <w:r>
        <w:t xml:space="preserve"> Directive), COM (2022) 496. EUR-</w:t>
      </w:r>
      <w:proofErr w:type="spellStart"/>
      <w:r>
        <w:t>Lex</w:t>
      </w:r>
      <w:proofErr w:type="spellEnd"/>
      <w:r>
        <w:t xml:space="preserve"> </w:t>
      </w:r>
      <w:proofErr w:type="spellStart"/>
      <w:r>
        <w:t>Procedure</w:t>
      </w:r>
      <w:proofErr w:type="spellEnd"/>
      <w:r>
        <w:t xml:space="preserve"> 2022/0303/COD. </w:t>
      </w:r>
      <w:proofErr w:type="spellStart"/>
      <w:r>
        <w:t>Proposal</w:t>
      </w:r>
      <w:proofErr w:type="spellEnd"/>
      <w:r>
        <w:t xml:space="preserve"> </w:t>
      </w:r>
      <w:proofErr w:type="spellStart"/>
      <w:r>
        <w:t>withdrawn</w:t>
      </w:r>
      <w:proofErr w:type="spellEnd"/>
      <w:r>
        <w:t xml:space="preserve">. </w:t>
      </w:r>
      <w:hyperlink r:id="rId31" w:history="1">
        <w:r>
          <w:rPr>
            <w:rStyle w:val="MdLink"/>
          </w:rPr>
          <w:t>https://eur-lex.europa.eu/procedure/EN/2022_303</w:t>
        </w:r>
      </w:hyperlink>
    </w:p>
    <w:p w14:paraId="4C9E1CE4" w14:textId="77777777" w:rsidR="008004B8" w:rsidRDefault="008004B8">
      <w:pPr>
        <w:pStyle w:val="MdSpace"/>
        <w:spacing w:after="60"/>
      </w:pPr>
    </w:p>
    <w:p w14:paraId="4C9E1CE5" w14:textId="77777777" w:rsidR="008004B8" w:rsidRDefault="00845011">
      <w:pPr>
        <w:pStyle w:val="MdParagraph"/>
      </w:pPr>
      <w:proofErr w:type="spellStart"/>
      <w:r>
        <w:t>European</w:t>
      </w:r>
      <w:proofErr w:type="spellEnd"/>
      <w:r>
        <w:t xml:space="preserve"> </w:t>
      </w:r>
      <w:proofErr w:type="spellStart"/>
      <w:r>
        <w:t>Union</w:t>
      </w:r>
      <w:proofErr w:type="spellEnd"/>
      <w:r>
        <w:t xml:space="preserve">. (2024). </w:t>
      </w:r>
      <w:proofErr w:type="spellStart"/>
      <w:r>
        <w:t>Regulation</w:t>
      </w:r>
      <w:proofErr w:type="spellEnd"/>
      <w:r>
        <w:t xml:space="preserve"> (EU) 2024/1689 of </w:t>
      </w:r>
      <w:proofErr w:type="spellStart"/>
      <w:r>
        <w:t>the</w:t>
      </w:r>
      <w:proofErr w:type="spellEnd"/>
      <w:r>
        <w:t xml:space="preserve"> </w:t>
      </w:r>
      <w:proofErr w:type="spellStart"/>
      <w:r>
        <w:t>European</w:t>
      </w:r>
      <w:proofErr w:type="spellEnd"/>
      <w:r>
        <w:t xml:space="preserve"> </w:t>
      </w:r>
      <w:proofErr w:type="spellStart"/>
      <w:r>
        <w:t>Parliament</w:t>
      </w:r>
      <w:proofErr w:type="spellEnd"/>
      <w:r>
        <w:t xml:space="preserve"> </w:t>
      </w:r>
      <w:proofErr w:type="spellStart"/>
      <w:r>
        <w:t>and</w:t>
      </w:r>
      <w:proofErr w:type="spellEnd"/>
      <w:r>
        <w:t xml:space="preserve"> of </w:t>
      </w:r>
      <w:proofErr w:type="spellStart"/>
      <w:r>
        <w:t>the</w:t>
      </w:r>
      <w:proofErr w:type="spellEnd"/>
      <w:r>
        <w:t xml:space="preserve"> </w:t>
      </w:r>
      <w:proofErr w:type="spellStart"/>
      <w:r>
        <w:t>Council</w:t>
      </w:r>
      <w:proofErr w:type="spellEnd"/>
      <w:r>
        <w:t xml:space="preserve"> </w:t>
      </w:r>
      <w:proofErr w:type="spellStart"/>
      <w:r>
        <w:t>laying</w:t>
      </w:r>
      <w:proofErr w:type="spellEnd"/>
      <w:r>
        <w:t xml:space="preserve"> </w:t>
      </w:r>
      <w:proofErr w:type="spellStart"/>
      <w:r>
        <w:t>down</w:t>
      </w:r>
      <w:proofErr w:type="spellEnd"/>
      <w:r>
        <w:t xml:space="preserve"> </w:t>
      </w:r>
      <w:proofErr w:type="spellStart"/>
      <w:r>
        <w:t>harmonised</w:t>
      </w:r>
      <w:proofErr w:type="spellEnd"/>
      <w:r>
        <w:t xml:space="preserve"> </w:t>
      </w:r>
      <w:proofErr w:type="spellStart"/>
      <w:r>
        <w:t>rules</w:t>
      </w:r>
      <w:proofErr w:type="spellEnd"/>
      <w:r>
        <w:t xml:space="preserve"> on </w:t>
      </w:r>
      <w:proofErr w:type="spellStart"/>
      <w:r>
        <w:t>artificial</w:t>
      </w:r>
      <w:proofErr w:type="spellEnd"/>
      <w:r>
        <w:t xml:space="preserve"> </w:t>
      </w:r>
      <w:proofErr w:type="spellStart"/>
      <w:r>
        <w:t>intelligence</w:t>
      </w:r>
      <w:proofErr w:type="spellEnd"/>
      <w:r>
        <w:t xml:space="preserve"> (</w:t>
      </w:r>
      <w:proofErr w:type="spellStart"/>
      <w:r>
        <w:t>Artificial</w:t>
      </w:r>
      <w:proofErr w:type="spellEnd"/>
      <w:r>
        <w:t xml:space="preserve"> </w:t>
      </w:r>
      <w:proofErr w:type="spellStart"/>
      <w:r>
        <w:t>Intelligence</w:t>
      </w:r>
      <w:proofErr w:type="spellEnd"/>
      <w:r>
        <w:t xml:space="preserve"> </w:t>
      </w:r>
      <w:proofErr w:type="spellStart"/>
      <w:r>
        <w:t>Act</w:t>
      </w:r>
      <w:proofErr w:type="spellEnd"/>
      <w:r>
        <w:t>). EUR-</w:t>
      </w:r>
      <w:proofErr w:type="spellStart"/>
      <w:r>
        <w:t>Lex</w:t>
      </w:r>
      <w:proofErr w:type="spellEnd"/>
      <w:r>
        <w:t xml:space="preserve">. </w:t>
      </w:r>
      <w:hyperlink r:id="rId32" w:history="1">
        <w:r>
          <w:rPr>
            <w:rStyle w:val="MdLink"/>
          </w:rPr>
          <w:t>https://data.europa.eu/eli/reg/2024/1689/oj</w:t>
        </w:r>
      </w:hyperlink>
    </w:p>
    <w:p w14:paraId="4C9E1CE6" w14:textId="77777777" w:rsidR="008004B8" w:rsidRDefault="008004B8">
      <w:pPr>
        <w:pStyle w:val="MdSpace"/>
        <w:spacing w:after="60"/>
      </w:pPr>
    </w:p>
    <w:p w14:paraId="4C9E1CE7" w14:textId="77777777" w:rsidR="008004B8" w:rsidRDefault="00845011">
      <w:pPr>
        <w:pStyle w:val="MdParagraph"/>
      </w:pPr>
      <w:r>
        <w:t xml:space="preserve">T.C. Cumhurbaşkanlığı. (1982). 2709 sayılı Türkiye Cumhuriyeti Anayasası. T.C. Cumhurbaşkanlığı Mevzuat Bilgi Sistemi. </w:t>
      </w:r>
      <w:hyperlink r:id="rId33" w:history="1">
        <w:r>
          <w:rPr>
            <w:rStyle w:val="MdLink"/>
          </w:rPr>
          <w:t>https://www.mevzuat.gov.tr/MevzuatMetin/1.5.2709.pdf</w:t>
        </w:r>
      </w:hyperlink>
    </w:p>
    <w:p w14:paraId="4C9E1CE8" w14:textId="77777777" w:rsidR="008004B8" w:rsidRDefault="008004B8">
      <w:pPr>
        <w:pStyle w:val="MdSpace"/>
        <w:spacing w:after="60"/>
      </w:pPr>
    </w:p>
    <w:p w14:paraId="4C9E1CE9" w14:textId="77777777" w:rsidR="008004B8" w:rsidRDefault="00845011">
      <w:pPr>
        <w:pStyle w:val="MdParagraph"/>
      </w:pPr>
      <w:r>
        <w:t xml:space="preserve">T.C. Cumhurbaşkanlığı. (2026). Türkiye Yapay </w:t>
      </w:r>
      <w:proofErr w:type="gramStart"/>
      <w:r>
        <w:t>Zeka</w:t>
      </w:r>
      <w:proofErr w:type="gramEnd"/>
      <w:r>
        <w:t xml:space="preserve"> Eylem Planı (2026–2030) ile ilgili 2026/9 sayılı Cumhurbaşkanlığı Genelgesi. </w:t>
      </w:r>
      <w:proofErr w:type="gramStart"/>
      <w:r>
        <w:t>Resmi</w:t>
      </w:r>
      <w:proofErr w:type="gramEnd"/>
      <w:r>
        <w:t xml:space="preserve"> Gazete, 33344. </w:t>
      </w:r>
      <w:hyperlink r:id="rId34" w:history="1">
        <w:r>
          <w:rPr>
            <w:rStyle w:val="MdLink"/>
          </w:rPr>
          <w:t>https://www.resmigazete.gov.tr/eskiler/2026/08/20260818-8.pdf</w:t>
        </w:r>
      </w:hyperlink>
    </w:p>
    <w:p w14:paraId="4C9E1CEA" w14:textId="77777777" w:rsidR="008004B8" w:rsidRDefault="008004B8">
      <w:pPr>
        <w:pStyle w:val="MdSpace"/>
        <w:spacing w:after="60"/>
      </w:pPr>
    </w:p>
    <w:p w14:paraId="4C9E1CEB" w14:textId="77777777" w:rsidR="008004B8" w:rsidRDefault="00845011">
      <w:pPr>
        <w:pStyle w:val="MdParagraph"/>
      </w:pPr>
      <w:r>
        <w:t xml:space="preserve">T.C. Cumhurbaşkanlığı Strateji ve Bütçe Başkanlığı. (2021). Ulusal Yapay </w:t>
      </w:r>
      <w:proofErr w:type="gramStart"/>
      <w:r>
        <w:t>Zeka</w:t>
      </w:r>
      <w:proofErr w:type="gramEnd"/>
      <w:r>
        <w:t xml:space="preserve"> Stratejisi (2021–2025). </w:t>
      </w:r>
      <w:hyperlink r:id="rId35" w:history="1">
        <w:r>
          <w:rPr>
            <w:rStyle w:val="MdLink"/>
          </w:rPr>
          <w:t>http://www.sp.gov.tr/tr/temel-belge/s/214/Ulusal+Yapay+Zek_+Stratejisi+_2021-2025</w:t>
        </w:r>
      </w:hyperlink>
    </w:p>
    <w:p w14:paraId="4C9E1CEC" w14:textId="77777777" w:rsidR="008004B8" w:rsidRDefault="008004B8">
      <w:pPr>
        <w:pStyle w:val="MdSpace"/>
        <w:spacing w:after="60"/>
      </w:pPr>
    </w:p>
    <w:p w14:paraId="4C9E1CED" w14:textId="77777777" w:rsidR="008004B8" w:rsidRDefault="00845011">
      <w:pPr>
        <w:pStyle w:val="MdParagraph"/>
      </w:pPr>
      <w:r>
        <w:t xml:space="preserve">Türkiye Cumhuriyeti. (2016). 6698 sayılı Kişisel Verilerin Korunması Kanunu. T.C. Cumhurbaşkanlığı Mevzuat Bilgi Sistemi. </w:t>
      </w:r>
      <w:hyperlink r:id="rId36" w:history="1">
        <w:r>
          <w:rPr>
            <w:rStyle w:val="MdLink"/>
          </w:rPr>
          <w:t>https://www.mevzuat.gov.tr/mevzuat?MevzuatNo=6698&amp;MevzuatTur=1&amp;MevzuatTertip=5</w:t>
        </w:r>
      </w:hyperlink>
    </w:p>
    <w:sectPr w:rsidR="008004B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0DEFA" w14:textId="77777777" w:rsidR="00845011" w:rsidRDefault="00845011">
      <w:r>
        <w:separator/>
      </w:r>
    </w:p>
  </w:endnote>
  <w:endnote w:type="continuationSeparator" w:id="0">
    <w:p w14:paraId="169E92CB" w14:textId="77777777" w:rsidR="00845011" w:rsidRDefault="00845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11A10" w14:textId="77777777" w:rsidR="00845011" w:rsidRDefault="00845011">
      <w:r>
        <w:separator/>
      </w:r>
    </w:p>
  </w:footnote>
  <w:footnote w:type="continuationSeparator" w:id="0">
    <w:p w14:paraId="4E409A88" w14:textId="77777777" w:rsidR="00845011" w:rsidRDefault="00845011">
      <w:r>
        <w:continuationSeparator/>
      </w:r>
    </w:p>
  </w:footnote>
  <w:footnote w:id="1">
    <w:p w14:paraId="4C9E1CEE" w14:textId="49C75B6B" w:rsidR="008004B8" w:rsidRPr="00485FA5" w:rsidRDefault="00845011">
      <w:pPr>
        <w:pStyle w:val="MdFootnote"/>
        <w:rPr>
          <w:sz w:val="20"/>
          <w:szCs w:val="20"/>
          <w:vertAlign w:val="baseline"/>
        </w:rPr>
      </w:pPr>
      <w:r w:rsidRPr="00485FA5">
        <w:rPr>
          <w:rStyle w:val="DipnotBavurusu"/>
          <w:sz w:val="20"/>
          <w:szCs w:val="20"/>
          <w:vertAlign w:val="baseline"/>
        </w:rPr>
        <w:footnoteRef/>
      </w:r>
      <w:r w:rsidR="003D435F" w:rsidRPr="00485FA5">
        <w:rPr>
          <w:sz w:val="20"/>
          <w:szCs w:val="20"/>
          <w:vertAlign w:val="baseline"/>
        </w:rPr>
        <w:t xml:space="preserve"> </w:t>
      </w:r>
      <w:r w:rsidRPr="00485FA5">
        <w:rPr>
          <w:sz w:val="20"/>
          <w:szCs w:val="20"/>
          <w:vertAlign w:val="baseline"/>
        </w:rPr>
        <w:t xml:space="preserve">Bu tebliğde “canavarın karnında” metaforu, feminist bilgi üretiminin </w:t>
      </w:r>
      <w:proofErr w:type="spellStart"/>
      <w:r w:rsidRPr="00485FA5">
        <w:rPr>
          <w:sz w:val="20"/>
          <w:szCs w:val="20"/>
          <w:vertAlign w:val="baseline"/>
        </w:rPr>
        <w:t>teknobilimsel</w:t>
      </w:r>
      <w:proofErr w:type="spellEnd"/>
      <w:r w:rsidRPr="00485FA5">
        <w:rPr>
          <w:sz w:val="20"/>
          <w:szCs w:val="20"/>
          <w:vertAlign w:val="baseline"/>
        </w:rPr>
        <w:t xml:space="preserve"> iktidar yapılarının dışında ve aşkın bir konumdan değil, bizzat bu yapıların içinden, konumlanmış ve sorumluluk temelli bir bakışla gerçekleştiğini vurgulayan kullanıma referansla tercih edilmiştir. Metafor aynı zamanda küresel </w:t>
      </w:r>
      <w:proofErr w:type="spellStart"/>
      <w:r w:rsidRPr="00485FA5">
        <w:rPr>
          <w:sz w:val="20"/>
          <w:szCs w:val="20"/>
          <w:vertAlign w:val="baseline"/>
        </w:rPr>
        <w:t>teknobilimsel</w:t>
      </w:r>
      <w:proofErr w:type="spellEnd"/>
      <w:r w:rsidRPr="00485FA5">
        <w:rPr>
          <w:sz w:val="20"/>
          <w:szCs w:val="20"/>
          <w:vertAlign w:val="baseline"/>
        </w:rPr>
        <w:t xml:space="preserve"> düzenin yalnızca tahakkümün değil, farklılıkların, yeni kolektiflerin ve alternatif ilişki biçimlerinin filizlendiği bir dönüşüm alanı olduğunu ifade eder. Bkz. </w:t>
      </w:r>
      <w:proofErr w:type="spellStart"/>
      <w:r w:rsidRPr="00485FA5">
        <w:rPr>
          <w:sz w:val="20"/>
          <w:szCs w:val="20"/>
          <w:vertAlign w:val="baseline"/>
        </w:rPr>
        <w:t>Haraway</w:t>
      </w:r>
      <w:proofErr w:type="spellEnd"/>
      <w:r w:rsidRPr="00485FA5">
        <w:rPr>
          <w:sz w:val="20"/>
          <w:szCs w:val="20"/>
          <w:vertAlign w:val="baseline"/>
        </w:rPr>
        <w:t xml:space="preserve">, D. (1988). </w:t>
      </w:r>
      <w:proofErr w:type="spellStart"/>
      <w:r w:rsidRPr="00485FA5">
        <w:rPr>
          <w:rStyle w:val="MdEm"/>
          <w:sz w:val="20"/>
          <w:szCs w:val="20"/>
          <w:vertAlign w:val="baseline"/>
        </w:rPr>
        <w:t>Situated</w:t>
      </w:r>
      <w:proofErr w:type="spellEnd"/>
      <w:r w:rsidRPr="00485FA5">
        <w:rPr>
          <w:rStyle w:val="MdEm"/>
          <w:sz w:val="20"/>
          <w:szCs w:val="20"/>
          <w:vertAlign w:val="baseline"/>
        </w:rPr>
        <w:t xml:space="preserve"> </w:t>
      </w:r>
      <w:proofErr w:type="spellStart"/>
      <w:r w:rsidRPr="00485FA5">
        <w:rPr>
          <w:rStyle w:val="MdEm"/>
          <w:sz w:val="20"/>
          <w:szCs w:val="20"/>
          <w:vertAlign w:val="baseline"/>
        </w:rPr>
        <w:t>knowledges</w:t>
      </w:r>
      <w:proofErr w:type="spellEnd"/>
      <w:r w:rsidRPr="00485FA5">
        <w:rPr>
          <w:rStyle w:val="MdEm"/>
          <w:sz w:val="20"/>
          <w:szCs w:val="20"/>
          <w:vertAlign w:val="baseline"/>
        </w:rPr>
        <w:t xml:space="preserve">: </w:t>
      </w:r>
      <w:proofErr w:type="spellStart"/>
      <w:r w:rsidRPr="00485FA5">
        <w:rPr>
          <w:rStyle w:val="MdEm"/>
          <w:sz w:val="20"/>
          <w:szCs w:val="20"/>
          <w:vertAlign w:val="baseline"/>
        </w:rPr>
        <w:t>The</w:t>
      </w:r>
      <w:proofErr w:type="spellEnd"/>
      <w:r w:rsidRPr="00485FA5">
        <w:rPr>
          <w:rStyle w:val="MdEm"/>
          <w:sz w:val="20"/>
          <w:szCs w:val="20"/>
          <w:vertAlign w:val="baseline"/>
        </w:rPr>
        <w:t xml:space="preserve"> </w:t>
      </w:r>
      <w:proofErr w:type="spellStart"/>
      <w:r w:rsidRPr="00485FA5">
        <w:rPr>
          <w:rStyle w:val="MdEm"/>
          <w:sz w:val="20"/>
          <w:szCs w:val="20"/>
          <w:vertAlign w:val="baseline"/>
        </w:rPr>
        <w:t>science</w:t>
      </w:r>
      <w:proofErr w:type="spellEnd"/>
      <w:r w:rsidRPr="00485FA5">
        <w:rPr>
          <w:rStyle w:val="MdEm"/>
          <w:sz w:val="20"/>
          <w:szCs w:val="20"/>
          <w:vertAlign w:val="baseline"/>
        </w:rPr>
        <w:t xml:space="preserve"> </w:t>
      </w:r>
      <w:proofErr w:type="spellStart"/>
      <w:r w:rsidRPr="00485FA5">
        <w:rPr>
          <w:rStyle w:val="MdEm"/>
          <w:sz w:val="20"/>
          <w:szCs w:val="20"/>
          <w:vertAlign w:val="baseline"/>
        </w:rPr>
        <w:t>question</w:t>
      </w:r>
      <w:proofErr w:type="spellEnd"/>
      <w:r w:rsidRPr="00485FA5">
        <w:rPr>
          <w:rStyle w:val="MdEm"/>
          <w:sz w:val="20"/>
          <w:szCs w:val="20"/>
          <w:vertAlign w:val="baseline"/>
        </w:rPr>
        <w:t xml:space="preserve"> in </w:t>
      </w:r>
      <w:proofErr w:type="spellStart"/>
      <w:r w:rsidRPr="00485FA5">
        <w:rPr>
          <w:rStyle w:val="MdEm"/>
          <w:sz w:val="20"/>
          <w:szCs w:val="20"/>
          <w:vertAlign w:val="baseline"/>
        </w:rPr>
        <w:t>feminism</w:t>
      </w:r>
      <w:proofErr w:type="spellEnd"/>
      <w:r w:rsidRPr="00485FA5">
        <w:rPr>
          <w:rStyle w:val="MdEm"/>
          <w:sz w:val="20"/>
          <w:szCs w:val="20"/>
          <w:vertAlign w:val="baseline"/>
        </w:rPr>
        <w:t xml:space="preserve"> </w:t>
      </w:r>
      <w:proofErr w:type="spellStart"/>
      <w:r w:rsidRPr="00485FA5">
        <w:rPr>
          <w:rStyle w:val="MdEm"/>
          <w:sz w:val="20"/>
          <w:szCs w:val="20"/>
          <w:vertAlign w:val="baseline"/>
        </w:rPr>
        <w:t>and</w:t>
      </w:r>
      <w:proofErr w:type="spellEnd"/>
      <w:r w:rsidRPr="00485FA5">
        <w:rPr>
          <w:rStyle w:val="MdEm"/>
          <w:sz w:val="20"/>
          <w:szCs w:val="20"/>
          <w:vertAlign w:val="baseline"/>
        </w:rPr>
        <w:t xml:space="preserve"> </w:t>
      </w:r>
      <w:proofErr w:type="spellStart"/>
      <w:r w:rsidRPr="00485FA5">
        <w:rPr>
          <w:rStyle w:val="MdEm"/>
          <w:sz w:val="20"/>
          <w:szCs w:val="20"/>
          <w:vertAlign w:val="baseline"/>
        </w:rPr>
        <w:t>the</w:t>
      </w:r>
      <w:proofErr w:type="spellEnd"/>
      <w:r w:rsidRPr="00485FA5">
        <w:rPr>
          <w:rStyle w:val="MdEm"/>
          <w:sz w:val="20"/>
          <w:szCs w:val="20"/>
          <w:vertAlign w:val="baseline"/>
        </w:rPr>
        <w:t xml:space="preserve"> </w:t>
      </w:r>
      <w:proofErr w:type="spellStart"/>
      <w:r w:rsidRPr="00485FA5">
        <w:rPr>
          <w:rStyle w:val="MdEm"/>
          <w:sz w:val="20"/>
          <w:szCs w:val="20"/>
          <w:vertAlign w:val="baseline"/>
        </w:rPr>
        <w:t>privilege</w:t>
      </w:r>
      <w:proofErr w:type="spellEnd"/>
      <w:r w:rsidRPr="00485FA5">
        <w:rPr>
          <w:rStyle w:val="MdEm"/>
          <w:sz w:val="20"/>
          <w:szCs w:val="20"/>
          <w:vertAlign w:val="baseline"/>
        </w:rPr>
        <w:t xml:space="preserve"> of </w:t>
      </w:r>
      <w:proofErr w:type="spellStart"/>
      <w:r w:rsidRPr="00485FA5">
        <w:rPr>
          <w:rStyle w:val="MdEm"/>
          <w:sz w:val="20"/>
          <w:szCs w:val="20"/>
          <w:vertAlign w:val="baseline"/>
        </w:rPr>
        <w:t>partial</w:t>
      </w:r>
      <w:proofErr w:type="spellEnd"/>
      <w:r w:rsidRPr="00485FA5">
        <w:rPr>
          <w:rStyle w:val="MdEm"/>
          <w:sz w:val="20"/>
          <w:szCs w:val="20"/>
          <w:vertAlign w:val="baseline"/>
        </w:rPr>
        <w:t xml:space="preserve"> </w:t>
      </w:r>
      <w:proofErr w:type="spellStart"/>
      <w:r w:rsidRPr="00485FA5">
        <w:rPr>
          <w:rStyle w:val="MdEm"/>
          <w:sz w:val="20"/>
          <w:szCs w:val="20"/>
          <w:vertAlign w:val="baseline"/>
        </w:rPr>
        <w:t>perspective</w:t>
      </w:r>
      <w:proofErr w:type="spellEnd"/>
      <w:r w:rsidRPr="00485FA5">
        <w:rPr>
          <w:sz w:val="20"/>
          <w:szCs w:val="20"/>
          <w:vertAlign w:val="baseline"/>
        </w:rPr>
        <w:t xml:space="preserve">. </w:t>
      </w:r>
      <w:r w:rsidRPr="00485FA5">
        <w:rPr>
          <w:rStyle w:val="MdEm"/>
          <w:sz w:val="20"/>
          <w:szCs w:val="20"/>
          <w:vertAlign w:val="baseline"/>
        </w:rPr>
        <w:t xml:space="preserve">Feminist </w:t>
      </w:r>
      <w:proofErr w:type="spellStart"/>
      <w:r w:rsidRPr="00485FA5">
        <w:rPr>
          <w:rStyle w:val="MdEm"/>
          <w:sz w:val="20"/>
          <w:szCs w:val="20"/>
          <w:vertAlign w:val="baseline"/>
        </w:rPr>
        <w:t>Studies</w:t>
      </w:r>
      <w:proofErr w:type="spellEnd"/>
      <w:r w:rsidRPr="00485FA5">
        <w:rPr>
          <w:rStyle w:val="MdEm"/>
          <w:sz w:val="20"/>
          <w:szCs w:val="20"/>
          <w:vertAlign w:val="baseline"/>
        </w:rPr>
        <w:t>, 14</w:t>
      </w:r>
      <w:r w:rsidRPr="00485FA5">
        <w:rPr>
          <w:sz w:val="20"/>
          <w:szCs w:val="20"/>
          <w:vertAlign w:val="baseline"/>
        </w:rPr>
        <w:t xml:space="preserve">(3), 575–599, özellikle s. 581–583; </w:t>
      </w:r>
      <w:proofErr w:type="spellStart"/>
      <w:r w:rsidRPr="00485FA5">
        <w:rPr>
          <w:sz w:val="20"/>
          <w:szCs w:val="20"/>
          <w:vertAlign w:val="baseline"/>
        </w:rPr>
        <w:t>Haraway</w:t>
      </w:r>
      <w:proofErr w:type="spellEnd"/>
      <w:r w:rsidRPr="00485FA5">
        <w:rPr>
          <w:sz w:val="20"/>
          <w:szCs w:val="20"/>
          <w:vertAlign w:val="baseline"/>
        </w:rPr>
        <w:t xml:space="preserve">, D. (1992). </w:t>
      </w:r>
      <w:proofErr w:type="spellStart"/>
      <w:r w:rsidRPr="00485FA5">
        <w:rPr>
          <w:rStyle w:val="MdEm"/>
          <w:sz w:val="20"/>
          <w:szCs w:val="20"/>
          <w:vertAlign w:val="baseline"/>
        </w:rPr>
        <w:t>The</w:t>
      </w:r>
      <w:proofErr w:type="spellEnd"/>
      <w:r w:rsidRPr="00485FA5">
        <w:rPr>
          <w:rStyle w:val="MdEm"/>
          <w:sz w:val="20"/>
          <w:szCs w:val="20"/>
          <w:vertAlign w:val="baseline"/>
        </w:rPr>
        <w:t xml:space="preserve"> </w:t>
      </w:r>
      <w:proofErr w:type="spellStart"/>
      <w:r w:rsidRPr="00485FA5">
        <w:rPr>
          <w:rStyle w:val="MdEm"/>
          <w:sz w:val="20"/>
          <w:szCs w:val="20"/>
          <w:vertAlign w:val="baseline"/>
        </w:rPr>
        <w:t>promises</w:t>
      </w:r>
      <w:proofErr w:type="spellEnd"/>
      <w:r w:rsidRPr="00485FA5">
        <w:rPr>
          <w:rStyle w:val="MdEm"/>
          <w:sz w:val="20"/>
          <w:szCs w:val="20"/>
          <w:vertAlign w:val="baseline"/>
        </w:rPr>
        <w:t xml:space="preserve"> of </w:t>
      </w:r>
      <w:proofErr w:type="spellStart"/>
      <w:r w:rsidRPr="00485FA5">
        <w:rPr>
          <w:rStyle w:val="MdEm"/>
          <w:sz w:val="20"/>
          <w:szCs w:val="20"/>
          <w:vertAlign w:val="baseline"/>
        </w:rPr>
        <w:t>monsters</w:t>
      </w:r>
      <w:proofErr w:type="spellEnd"/>
      <w:r w:rsidRPr="00485FA5">
        <w:rPr>
          <w:rStyle w:val="MdEm"/>
          <w:sz w:val="20"/>
          <w:szCs w:val="20"/>
          <w:vertAlign w:val="baseline"/>
        </w:rPr>
        <w:t xml:space="preserve">: A </w:t>
      </w:r>
      <w:proofErr w:type="spellStart"/>
      <w:r w:rsidRPr="00485FA5">
        <w:rPr>
          <w:rStyle w:val="MdEm"/>
          <w:sz w:val="20"/>
          <w:szCs w:val="20"/>
          <w:vertAlign w:val="baseline"/>
        </w:rPr>
        <w:t>regenerative</w:t>
      </w:r>
      <w:proofErr w:type="spellEnd"/>
      <w:r w:rsidRPr="00485FA5">
        <w:rPr>
          <w:rStyle w:val="MdEm"/>
          <w:sz w:val="20"/>
          <w:szCs w:val="20"/>
          <w:vertAlign w:val="baseline"/>
        </w:rPr>
        <w:t xml:space="preserve"> </w:t>
      </w:r>
      <w:proofErr w:type="spellStart"/>
      <w:r w:rsidRPr="00485FA5">
        <w:rPr>
          <w:rStyle w:val="MdEm"/>
          <w:sz w:val="20"/>
          <w:szCs w:val="20"/>
          <w:vertAlign w:val="baseline"/>
        </w:rPr>
        <w:t>politics</w:t>
      </w:r>
      <w:proofErr w:type="spellEnd"/>
      <w:r w:rsidRPr="00485FA5">
        <w:rPr>
          <w:rStyle w:val="MdEm"/>
          <w:sz w:val="20"/>
          <w:szCs w:val="20"/>
          <w:vertAlign w:val="baseline"/>
        </w:rPr>
        <w:t xml:space="preserve"> </w:t>
      </w:r>
      <w:proofErr w:type="spellStart"/>
      <w:r w:rsidRPr="00485FA5">
        <w:rPr>
          <w:rStyle w:val="MdEm"/>
          <w:sz w:val="20"/>
          <w:szCs w:val="20"/>
          <w:vertAlign w:val="baseline"/>
        </w:rPr>
        <w:t>for</w:t>
      </w:r>
      <w:proofErr w:type="spellEnd"/>
      <w:r w:rsidRPr="00485FA5">
        <w:rPr>
          <w:rStyle w:val="MdEm"/>
          <w:sz w:val="20"/>
          <w:szCs w:val="20"/>
          <w:vertAlign w:val="baseline"/>
        </w:rPr>
        <w:t xml:space="preserve"> </w:t>
      </w:r>
      <w:proofErr w:type="spellStart"/>
      <w:r w:rsidRPr="00485FA5">
        <w:rPr>
          <w:rStyle w:val="MdEm"/>
          <w:sz w:val="20"/>
          <w:szCs w:val="20"/>
          <w:vertAlign w:val="baseline"/>
        </w:rPr>
        <w:t>inappropriate</w:t>
      </w:r>
      <w:proofErr w:type="spellEnd"/>
      <w:r w:rsidRPr="00485FA5">
        <w:rPr>
          <w:rStyle w:val="MdEm"/>
          <w:sz w:val="20"/>
          <w:szCs w:val="20"/>
          <w:vertAlign w:val="baseline"/>
        </w:rPr>
        <w:t xml:space="preserve">/d </w:t>
      </w:r>
      <w:proofErr w:type="spellStart"/>
      <w:r w:rsidRPr="00485FA5">
        <w:rPr>
          <w:rStyle w:val="MdEm"/>
          <w:sz w:val="20"/>
          <w:szCs w:val="20"/>
          <w:vertAlign w:val="baseline"/>
        </w:rPr>
        <w:t>others</w:t>
      </w:r>
      <w:proofErr w:type="spellEnd"/>
      <w:r w:rsidRPr="00485FA5">
        <w:rPr>
          <w:sz w:val="20"/>
          <w:szCs w:val="20"/>
          <w:vertAlign w:val="baseline"/>
        </w:rPr>
        <w:t xml:space="preserve">. </w:t>
      </w:r>
      <w:proofErr w:type="spellStart"/>
      <w:r w:rsidRPr="00485FA5">
        <w:rPr>
          <w:rStyle w:val="MdEm"/>
          <w:sz w:val="20"/>
          <w:szCs w:val="20"/>
          <w:vertAlign w:val="baseline"/>
        </w:rPr>
        <w:t>Cultural</w:t>
      </w:r>
      <w:proofErr w:type="spellEnd"/>
      <w:r w:rsidRPr="00485FA5">
        <w:rPr>
          <w:rStyle w:val="MdEm"/>
          <w:sz w:val="20"/>
          <w:szCs w:val="20"/>
          <w:vertAlign w:val="baseline"/>
        </w:rPr>
        <w:t xml:space="preserve"> </w:t>
      </w:r>
      <w:proofErr w:type="spellStart"/>
      <w:r w:rsidRPr="00485FA5">
        <w:rPr>
          <w:rStyle w:val="MdEm"/>
          <w:sz w:val="20"/>
          <w:szCs w:val="20"/>
          <w:vertAlign w:val="baseline"/>
        </w:rPr>
        <w:t>Studies</w:t>
      </w:r>
      <w:proofErr w:type="spellEnd"/>
      <w:r w:rsidRPr="00485FA5">
        <w:rPr>
          <w:rStyle w:val="MdEm"/>
          <w:sz w:val="20"/>
          <w:szCs w:val="20"/>
          <w:vertAlign w:val="baseline"/>
        </w:rPr>
        <w:t>, 6</w:t>
      </w:r>
      <w:r w:rsidRPr="00485FA5">
        <w:rPr>
          <w:sz w:val="20"/>
          <w:szCs w:val="20"/>
          <w:vertAlign w:val="baseline"/>
        </w:rPr>
        <w:t>(1), 295–337, özellikle s. 295, 297 ve 299–300.</w:t>
      </w:r>
    </w:p>
  </w:footnote>
  <w:footnote w:id="2">
    <w:p w14:paraId="4C9E1CEF" w14:textId="2C798134" w:rsidR="008004B8" w:rsidRPr="00F20C95" w:rsidRDefault="00845011" w:rsidP="00F20C95">
      <w:pPr>
        <w:pStyle w:val="MdFootnote"/>
        <w:rPr>
          <w:sz w:val="20"/>
          <w:szCs w:val="20"/>
          <w:u w:val="single"/>
          <w:vertAlign w:val="baseline"/>
        </w:rPr>
      </w:pPr>
      <w:r w:rsidRPr="00F20C95">
        <w:rPr>
          <w:rStyle w:val="DipnotBavurusu"/>
          <w:sz w:val="20"/>
          <w:szCs w:val="20"/>
        </w:rPr>
        <w:footnoteRef/>
      </w:r>
      <w:proofErr w:type="spellStart"/>
      <w:r w:rsidRPr="00F20C95">
        <w:rPr>
          <w:sz w:val="20"/>
          <w:szCs w:val="20"/>
          <w:vertAlign w:val="baseline"/>
        </w:rPr>
        <w:t>Amnesty</w:t>
      </w:r>
      <w:proofErr w:type="spellEnd"/>
      <w:r w:rsidRPr="00F20C95">
        <w:rPr>
          <w:sz w:val="20"/>
          <w:szCs w:val="20"/>
          <w:vertAlign w:val="baseline"/>
        </w:rPr>
        <w:t xml:space="preserve"> International. (2021). </w:t>
      </w:r>
      <w:proofErr w:type="spellStart"/>
      <w:r w:rsidRPr="00F20C95">
        <w:rPr>
          <w:i/>
          <w:iCs/>
          <w:sz w:val="20"/>
          <w:szCs w:val="20"/>
          <w:vertAlign w:val="baseline"/>
        </w:rPr>
        <w:t>Xenophobic</w:t>
      </w:r>
      <w:proofErr w:type="spellEnd"/>
      <w:r w:rsidRPr="00F20C95">
        <w:rPr>
          <w:i/>
          <w:iCs/>
          <w:sz w:val="20"/>
          <w:szCs w:val="20"/>
          <w:vertAlign w:val="baseline"/>
        </w:rPr>
        <w:t xml:space="preserve"> </w:t>
      </w:r>
      <w:proofErr w:type="spellStart"/>
      <w:r w:rsidRPr="00F20C95">
        <w:rPr>
          <w:i/>
          <w:iCs/>
          <w:sz w:val="20"/>
          <w:szCs w:val="20"/>
          <w:vertAlign w:val="baseline"/>
        </w:rPr>
        <w:t>machines</w:t>
      </w:r>
      <w:proofErr w:type="spellEnd"/>
      <w:r w:rsidRPr="00F20C95">
        <w:rPr>
          <w:i/>
          <w:iCs/>
          <w:sz w:val="20"/>
          <w:szCs w:val="20"/>
          <w:vertAlign w:val="baseline"/>
        </w:rPr>
        <w:t xml:space="preserve">: </w:t>
      </w:r>
      <w:proofErr w:type="spellStart"/>
      <w:r w:rsidRPr="00F20C95">
        <w:rPr>
          <w:i/>
          <w:iCs/>
          <w:sz w:val="20"/>
          <w:szCs w:val="20"/>
          <w:vertAlign w:val="baseline"/>
        </w:rPr>
        <w:t>Discrimination</w:t>
      </w:r>
      <w:proofErr w:type="spellEnd"/>
      <w:r w:rsidRPr="00F20C95">
        <w:rPr>
          <w:i/>
          <w:iCs/>
          <w:sz w:val="20"/>
          <w:szCs w:val="20"/>
          <w:vertAlign w:val="baseline"/>
        </w:rPr>
        <w:t xml:space="preserve"> </w:t>
      </w:r>
      <w:proofErr w:type="spellStart"/>
      <w:r w:rsidRPr="00F20C95">
        <w:rPr>
          <w:i/>
          <w:iCs/>
          <w:sz w:val="20"/>
          <w:szCs w:val="20"/>
          <w:vertAlign w:val="baseline"/>
        </w:rPr>
        <w:t>through</w:t>
      </w:r>
      <w:proofErr w:type="spellEnd"/>
      <w:r w:rsidRPr="00F20C95">
        <w:rPr>
          <w:i/>
          <w:iCs/>
          <w:sz w:val="20"/>
          <w:szCs w:val="20"/>
          <w:vertAlign w:val="baseline"/>
        </w:rPr>
        <w:t xml:space="preserve"> </w:t>
      </w:r>
      <w:proofErr w:type="spellStart"/>
      <w:r w:rsidRPr="00F20C95">
        <w:rPr>
          <w:i/>
          <w:iCs/>
          <w:sz w:val="20"/>
          <w:szCs w:val="20"/>
          <w:vertAlign w:val="baseline"/>
        </w:rPr>
        <w:t>unregulated</w:t>
      </w:r>
      <w:proofErr w:type="spellEnd"/>
      <w:r w:rsidRPr="00F20C95">
        <w:rPr>
          <w:i/>
          <w:iCs/>
          <w:sz w:val="20"/>
          <w:szCs w:val="20"/>
          <w:vertAlign w:val="baseline"/>
        </w:rPr>
        <w:t xml:space="preserve"> </w:t>
      </w:r>
      <w:proofErr w:type="spellStart"/>
      <w:r w:rsidRPr="00F20C95">
        <w:rPr>
          <w:i/>
          <w:iCs/>
          <w:sz w:val="20"/>
          <w:szCs w:val="20"/>
          <w:vertAlign w:val="baseline"/>
        </w:rPr>
        <w:t>use</w:t>
      </w:r>
      <w:proofErr w:type="spellEnd"/>
      <w:r w:rsidRPr="00F20C95">
        <w:rPr>
          <w:i/>
          <w:iCs/>
          <w:sz w:val="20"/>
          <w:szCs w:val="20"/>
          <w:vertAlign w:val="baseline"/>
        </w:rPr>
        <w:t xml:space="preserve"> of </w:t>
      </w:r>
      <w:proofErr w:type="spellStart"/>
      <w:r w:rsidRPr="00F20C95">
        <w:rPr>
          <w:i/>
          <w:iCs/>
          <w:sz w:val="20"/>
          <w:szCs w:val="20"/>
          <w:vertAlign w:val="baseline"/>
        </w:rPr>
        <w:t>algorithms</w:t>
      </w:r>
      <w:proofErr w:type="spellEnd"/>
      <w:r w:rsidRPr="00F20C95">
        <w:rPr>
          <w:i/>
          <w:iCs/>
          <w:sz w:val="20"/>
          <w:szCs w:val="20"/>
          <w:vertAlign w:val="baseline"/>
        </w:rPr>
        <w:t xml:space="preserve"> in </w:t>
      </w:r>
      <w:proofErr w:type="spellStart"/>
      <w:r w:rsidRPr="00F20C95">
        <w:rPr>
          <w:i/>
          <w:iCs/>
          <w:sz w:val="20"/>
          <w:szCs w:val="20"/>
          <w:vertAlign w:val="baseline"/>
        </w:rPr>
        <w:t>the</w:t>
      </w:r>
      <w:proofErr w:type="spellEnd"/>
      <w:r w:rsidRPr="00F20C95">
        <w:rPr>
          <w:i/>
          <w:iCs/>
          <w:sz w:val="20"/>
          <w:szCs w:val="20"/>
          <w:vertAlign w:val="baseline"/>
        </w:rPr>
        <w:t xml:space="preserve"> </w:t>
      </w:r>
      <w:proofErr w:type="spellStart"/>
      <w:r w:rsidRPr="00F20C95">
        <w:rPr>
          <w:i/>
          <w:iCs/>
          <w:sz w:val="20"/>
          <w:szCs w:val="20"/>
          <w:vertAlign w:val="baseline"/>
        </w:rPr>
        <w:t>Dutch</w:t>
      </w:r>
      <w:proofErr w:type="spellEnd"/>
      <w:r w:rsidRPr="00F20C95">
        <w:rPr>
          <w:i/>
          <w:iCs/>
          <w:sz w:val="20"/>
          <w:szCs w:val="20"/>
          <w:vertAlign w:val="baseline"/>
        </w:rPr>
        <w:t xml:space="preserve"> </w:t>
      </w:r>
      <w:proofErr w:type="spellStart"/>
      <w:r w:rsidRPr="00F20C95">
        <w:rPr>
          <w:i/>
          <w:iCs/>
          <w:sz w:val="20"/>
          <w:szCs w:val="20"/>
          <w:vertAlign w:val="baseline"/>
        </w:rPr>
        <w:t>childcare</w:t>
      </w:r>
      <w:proofErr w:type="spellEnd"/>
      <w:r w:rsidRPr="00F20C95">
        <w:rPr>
          <w:i/>
          <w:iCs/>
          <w:sz w:val="20"/>
          <w:szCs w:val="20"/>
          <w:vertAlign w:val="baseline"/>
        </w:rPr>
        <w:t xml:space="preserve"> </w:t>
      </w:r>
      <w:proofErr w:type="spellStart"/>
      <w:r w:rsidRPr="00F20C95">
        <w:rPr>
          <w:i/>
          <w:iCs/>
          <w:sz w:val="20"/>
          <w:szCs w:val="20"/>
          <w:vertAlign w:val="baseline"/>
        </w:rPr>
        <w:t>benefits</w:t>
      </w:r>
      <w:proofErr w:type="spellEnd"/>
      <w:r w:rsidRPr="00F20C95">
        <w:rPr>
          <w:i/>
          <w:iCs/>
          <w:sz w:val="20"/>
          <w:szCs w:val="20"/>
          <w:vertAlign w:val="baseline"/>
        </w:rPr>
        <w:t xml:space="preserve"> </w:t>
      </w:r>
      <w:proofErr w:type="spellStart"/>
      <w:r w:rsidRPr="00F20C95">
        <w:rPr>
          <w:i/>
          <w:iCs/>
          <w:sz w:val="20"/>
          <w:szCs w:val="20"/>
          <w:vertAlign w:val="baseline"/>
        </w:rPr>
        <w:t>scandal</w:t>
      </w:r>
      <w:proofErr w:type="spellEnd"/>
      <w:r w:rsidRPr="00F20C95">
        <w:rPr>
          <w:sz w:val="20"/>
          <w:szCs w:val="20"/>
          <w:vertAlign w:val="baseline"/>
        </w:rPr>
        <w:t xml:space="preserve">. </w:t>
      </w:r>
      <w:hyperlink r:id="rId1" w:history="1">
        <w:r w:rsidRPr="00F20C95">
          <w:rPr>
            <w:sz w:val="20"/>
            <w:szCs w:val="20"/>
            <w:u w:val="single"/>
            <w:vertAlign w:val="baseline"/>
          </w:rPr>
          <w:t>https://www.amnesty.org/en/documents/eur35/4686/2021/en/</w:t>
        </w:r>
      </w:hyperlink>
      <w:r w:rsidR="00F20C95" w:rsidRPr="00F20C95">
        <w:rPr>
          <w:sz w:val="20"/>
          <w:szCs w:val="20"/>
          <w:u w:val="single"/>
          <w:vertAlign w:val="baseline"/>
        </w:rPr>
        <w:t xml:space="preserve"> </w:t>
      </w:r>
      <w:r w:rsidR="00F20C95">
        <w:rPr>
          <w:sz w:val="20"/>
          <w:szCs w:val="20"/>
          <w:u w:val="single"/>
          <w:vertAlign w:val="baseline"/>
        </w:rPr>
        <w:t xml:space="preserve"> </w:t>
      </w:r>
    </w:p>
  </w:footnote>
  <w:footnote w:id="3">
    <w:p w14:paraId="4C9E1CF0" w14:textId="6AD6FF1A" w:rsidR="008004B8" w:rsidRPr="00F20C95" w:rsidRDefault="00845011" w:rsidP="00F20C95">
      <w:pPr>
        <w:pStyle w:val="MdFootnote"/>
        <w:rPr>
          <w:sz w:val="20"/>
          <w:szCs w:val="20"/>
          <w:vertAlign w:val="baseline"/>
        </w:rPr>
      </w:pPr>
      <w:r w:rsidRPr="00F20C95">
        <w:rPr>
          <w:sz w:val="20"/>
          <w:szCs w:val="20"/>
          <w:vertAlign w:val="baseline"/>
        </w:rPr>
        <w:footnoteRef/>
      </w:r>
      <w:proofErr w:type="spellStart"/>
      <w:r w:rsidRPr="00F20C95">
        <w:rPr>
          <w:sz w:val="20"/>
          <w:szCs w:val="20"/>
          <w:vertAlign w:val="baseline"/>
        </w:rPr>
        <w:t>Tweede</w:t>
      </w:r>
      <w:proofErr w:type="spellEnd"/>
      <w:r w:rsidRPr="00F20C95">
        <w:rPr>
          <w:sz w:val="20"/>
          <w:szCs w:val="20"/>
          <w:vertAlign w:val="baseline"/>
        </w:rPr>
        <w:t xml:space="preserve"> Kamer der </w:t>
      </w:r>
      <w:proofErr w:type="spellStart"/>
      <w:r w:rsidRPr="00F20C95">
        <w:rPr>
          <w:sz w:val="20"/>
          <w:szCs w:val="20"/>
          <w:vertAlign w:val="baseline"/>
        </w:rPr>
        <w:t>Staten-Generaal</w:t>
      </w:r>
      <w:proofErr w:type="spellEnd"/>
      <w:r w:rsidRPr="00F20C95">
        <w:rPr>
          <w:sz w:val="20"/>
          <w:szCs w:val="20"/>
          <w:vertAlign w:val="baseline"/>
        </w:rPr>
        <w:t xml:space="preserve">. (2020). </w:t>
      </w:r>
      <w:proofErr w:type="spellStart"/>
      <w:r w:rsidRPr="00F20C95">
        <w:rPr>
          <w:sz w:val="20"/>
          <w:szCs w:val="20"/>
          <w:vertAlign w:val="baseline"/>
        </w:rPr>
        <w:t>Ongekend</w:t>
      </w:r>
      <w:proofErr w:type="spellEnd"/>
      <w:r w:rsidRPr="00F20C95">
        <w:rPr>
          <w:sz w:val="20"/>
          <w:szCs w:val="20"/>
          <w:vertAlign w:val="baseline"/>
        </w:rPr>
        <w:t xml:space="preserve"> </w:t>
      </w:r>
      <w:proofErr w:type="spellStart"/>
      <w:r w:rsidRPr="00F20C95">
        <w:rPr>
          <w:sz w:val="20"/>
          <w:szCs w:val="20"/>
          <w:vertAlign w:val="baseline"/>
        </w:rPr>
        <w:t>onrecht</w:t>
      </w:r>
      <w:proofErr w:type="spellEnd"/>
      <w:r w:rsidRPr="00F20C95">
        <w:rPr>
          <w:sz w:val="20"/>
          <w:szCs w:val="20"/>
          <w:vertAlign w:val="baseline"/>
        </w:rPr>
        <w:t xml:space="preserve">: </w:t>
      </w:r>
      <w:proofErr w:type="spellStart"/>
      <w:r w:rsidRPr="00F20C95">
        <w:rPr>
          <w:sz w:val="20"/>
          <w:szCs w:val="20"/>
          <w:vertAlign w:val="baseline"/>
        </w:rPr>
        <w:t>Verslag</w:t>
      </w:r>
      <w:proofErr w:type="spellEnd"/>
      <w:r w:rsidRPr="00F20C95">
        <w:rPr>
          <w:sz w:val="20"/>
          <w:szCs w:val="20"/>
          <w:vertAlign w:val="baseline"/>
        </w:rPr>
        <w:t xml:space="preserve"> </w:t>
      </w:r>
      <w:proofErr w:type="spellStart"/>
      <w:r w:rsidRPr="00F20C95">
        <w:rPr>
          <w:sz w:val="20"/>
          <w:szCs w:val="20"/>
          <w:vertAlign w:val="baseline"/>
        </w:rPr>
        <w:t>van</w:t>
      </w:r>
      <w:proofErr w:type="spellEnd"/>
      <w:r w:rsidRPr="00F20C95">
        <w:rPr>
          <w:sz w:val="20"/>
          <w:szCs w:val="20"/>
          <w:vertAlign w:val="baseline"/>
        </w:rPr>
        <w:t xml:space="preserve"> de </w:t>
      </w:r>
      <w:proofErr w:type="spellStart"/>
      <w:r w:rsidRPr="00F20C95">
        <w:rPr>
          <w:sz w:val="20"/>
          <w:szCs w:val="20"/>
          <w:vertAlign w:val="baseline"/>
        </w:rPr>
        <w:t>Parlementaire</w:t>
      </w:r>
      <w:proofErr w:type="spellEnd"/>
      <w:r w:rsidRPr="00F20C95">
        <w:rPr>
          <w:sz w:val="20"/>
          <w:szCs w:val="20"/>
          <w:vertAlign w:val="baseline"/>
        </w:rPr>
        <w:t xml:space="preserve"> </w:t>
      </w:r>
      <w:proofErr w:type="spellStart"/>
      <w:r w:rsidRPr="00F20C95">
        <w:rPr>
          <w:sz w:val="20"/>
          <w:szCs w:val="20"/>
          <w:vertAlign w:val="baseline"/>
        </w:rPr>
        <w:t>ondervragingscommissie</w:t>
      </w:r>
      <w:proofErr w:type="spellEnd"/>
      <w:r w:rsidRPr="00F20C95">
        <w:rPr>
          <w:sz w:val="20"/>
          <w:szCs w:val="20"/>
          <w:vertAlign w:val="baseline"/>
        </w:rPr>
        <w:t xml:space="preserve"> </w:t>
      </w:r>
      <w:proofErr w:type="spellStart"/>
      <w:r w:rsidRPr="00F20C95">
        <w:rPr>
          <w:sz w:val="20"/>
          <w:szCs w:val="20"/>
          <w:vertAlign w:val="baseline"/>
        </w:rPr>
        <w:t>Kinderopvangtoeslag</w:t>
      </w:r>
      <w:proofErr w:type="spellEnd"/>
      <w:r w:rsidRPr="00F20C95">
        <w:rPr>
          <w:sz w:val="20"/>
          <w:szCs w:val="20"/>
          <w:vertAlign w:val="baseline"/>
        </w:rPr>
        <w:t xml:space="preserve">. </w:t>
      </w:r>
      <w:hyperlink r:id="rId2" w:history="1">
        <w:r w:rsidRPr="00F20C95">
          <w:rPr>
            <w:sz w:val="20"/>
            <w:szCs w:val="20"/>
            <w:u w:val="single"/>
            <w:vertAlign w:val="baseline"/>
          </w:rPr>
          <w:t>https://www.tweedekamer.nl/sites/default/files/atoms/files/20201217_eindverslag_parlementaire_ondervragingscommissie_kinderopvangtoeslag.pdf</w:t>
        </w:r>
      </w:hyperlink>
      <w:r w:rsidR="00F20C95" w:rsidRPr="00F20C95">
        <w:rPr>
          <w:sz w:val="20"/>
          <w:szCs w:val="20"/>
          <w:u w:val="single"/>
          <w:vertAlign w:val="baselin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21133"/>
    <w:multiLevelType w:val="hybridMultilevel"/>
    <w:tmpl w:val="21C6229C"/>
    <w:lvl w:ilvl="0" w:tplc="1E200CCA">
      <w:start w:val="1"/>
      <w:numFmt w:val="bullet"/>
      <w:lvlText w:val="•"/>
      <w:lvlJc w:val="left"/>
      <w:pPr>
        <w:ind w:left="720" w:hanging="360"/>
      </w:pPr>
    </w:lvl>
    <w:lvl w:ilvl="1" w:tplc="111E1748">
      <w:start w:val="1"/>
      <w:numFmt w:val="bullet"/>
      <w:lvlText w:val="◦"/>
      <w:lvlJc w:val="left"/>
      <w:pPr>
        <w:ind w:left="1440" w:hanging="360"/>
      </w:pPr>
    </w:lvl>
    <w:lvl w:ilvl="2" w:tplc="9E220692">
      <w:start w:val="1"/>
      <w:numFmt w:val="bullet"/>
      <w:lvlText w:val="•"/>
      <w:lvlJc w:val="left"/>
      <w:pPr>
        <w:ind w:left="2160" w:hanging="360"/>
      </w:pPr>
    </w:lvl>
    <w:lvl w:ilvl="3" w:tplc="4E66F90A">
      <w:start w:val="1"/>
      <w:numFmt w:val="bullet"/>
      <w:lvlText w:val="◦"/>
      <w:lvlJc w:val="left"/>
      <w:pPr>
        <w:ind w:left="2880" w:hanging="360"/>
      </w:pPr>
    </w:lvl>
    <w:lvl w:ilvl="4" w:tplc="81202C6C">
      <w:start w:val="1"/>
      <w:numFmt w:val="bullet"/>
      <w:lvlText w:val="•"/>
      <w:lvlJc w:val="left"/>
      <w:pPr>
        <w:ind w:left="3600" w:hanging="360"/>
      </w:pPr>
    </w:lvl>
    <w:lvl w:ilvl="5" w:tplc="9F68C40C">
      <w:start w:val="1"/>
      <w:numFmt w:val="bullet"/>
      <w:lvlText w:val="◦"/>
      <w:lvlJc w:val="left"/>
      <w:pPr>
        <w:ind w:left="4320" w:hanging="360"/>
      </w:pPr>
    </w:lvl>
    <w:lvl w:ilvl="6" w:tplc="AA3AEB2E">
      <w:start w:val="1"/>
      <w:numFmt w:val="bullet"/>
      <w:lvlText w:val="•"/>
      <w:lvlJc w:val="left"/>
      <w:pPr>
        <w:ind w:left="5040" w:hanging="360"/>
      </w:pPr>
    </w:lvl>
    <w:lvl w:ilvl="7" w:tplc="D632ED04">
      <w:numFmt w:val="decimal"/>
      <w:lvlText w:val=""/>
      <w:lvlJc w:val="left"/>
    </w:lvl>
    <w:lvl w:ilvl="8" w:tplc="61F42D76">
      <w:numFmt w:val="decimal"/>
      <w:lvlText w:val=""/>
      <w:lvlJc w:val="left"/>
    </w:lvl>
  </w:abstractNum>
  <w:abstractNum w:abstractNumId="1" w15:restartNumberingAfterBreak="0">
    <w:nsid w:val="54AF1137"/>
    <w:multiLevelType w:val="multilevel"/>
    <w:tmpl w:val="C3A04F1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68AA1C59"/>
    <w:multiLevelType w:val="hybridMultilevel"/>
    <w:tmpl w:val="B4EAF516"/>
    <w:lvl w:ilvl="0" w:tplc="D7AEBB68">
      <w:start w:val="1"/>
      <w:numFmt w:val="bullet"/>
      <w:lvlText w:val="●"/>
      <w:lvlJc w:val="left"/>
      <w:pPr>
        <w:ind w:left="720" w:hanging="360"/>
      </w:pPr>
    </w:lvl>
    <w:lvl w:ilvl="1" w:tplc="1ED06BAC">
      <w:start w:val="1"/>
      <w:numFmt w:val="bullet"/>
      <w:lvlText w:val="○"/>
      <w:lvlJc w:val="left"/>
      <w:pPr>
        <w:ind w:left="1440" w:hanging="360"/>
      </w:pPr>
    </w:lvl>
    <w:lvl w:ilvl="2" w:tplc="095E9894">
      <w:start w:val="1"/>
      <w:numFmt w:val="bullet"/>
      <w:lvlText w:val="■"/>
      <w:lvlJc w:val="left"/>
      <w:pPr>
        <w:ind w:left="2160" w:hanging="360"/>
      </w:pPr>
    </w:lvl>
    <w:lvl w:ilvl="3" w:tplc="DE40E740">
      <w:start w:val="1"/>
      <w:numFmt w:val="bullet"/>
      <w:lvlText w:val="●"/>
      <w:lvlJc w:val="left"/>
      <w:pPr>
        <w:ind w:left="2880" w:hanging="360"/>
      </w:pPr>
    </w:lvl>
    <w:lvl w:ilvl="4" w:tplc="3C90C642">
      <w:start w:val="1"/>
      <w:numFmt w:val="bullet"/>
      <w:lvlText w:val="○"/>
      <w:lvlJc w:val="left"/>
      <w:pPr>
        <w:ind w:left="3600" w:hanging="360"/>
      </w:pPr>
    </w:lvl>
    <w:lvl w:ilvl="5" w:tplc="7C8A166A">
      <w:start w:val="1"/>
      <w:numFmt w:val="bullet"/>
      <w:lvlText w:val="■"/>
      <w:lvlJc w:val="left"/>
      <w:pPr>
        <w:ind w:left="4320" w:hanging="360"/>
      </w:pPr>
    </w:lvl>
    <w:lvl w:ilvl="6" w:tplc="3A6A8064">
      <w:start w:val="1"/>
      <w:numFmt w:val="bullet"/>
      <w:lvlText w:val="●"/>
      <w:lvlJc w:val="left"/>
      <w:pPr>
        <w:ind w:left="5040" w:hanging="360"/>
      </w:pPr>
    </w:lvl>
    <w:lvl w:ilvl="7" w:tplc="17D001FC">
      <w:start w:val="1"/>
      <w:numFmt w:val="bullet"/>
      <w:lvlText w:val="●"/>
      <w:lvlJc w:val="left"/>
      <w:pPr>
        <w:ind w:left="5760" w:hanging="360"/>
      </w:pPr>
    </w:lvl>
    <w:lvl w:ilvl="8" w:tplc="783040E4">
      <w:start w:val="1"/>
      <w:numFmt w:val="bullet"/>
      <w:lvlText w:val="●"/>
      <w:lvlJc w:val="left"/>
      <w:pPr>
        <w:ind w:left="6480" w:hanging="360"/>
      </w:pPr>
    </w:lvl>
  </w:abstractNum>
  <w:num w:numId="1" w16cid:durableId="57319991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4B8"/>
    <w:rsid w:val="001C506B"/>
    <w:rsid w:val="002807D7"/>
    <w:rsid w:val="003D435F"/>
    <w:rsid w:val="00485FA5"/>
    <w:rsid w:val="008004B8"/>
    <w:rsid w:val="00845011"/>
    <w:rsid w:val="008A25EF"/>
    <w:rsid w:val="00F20C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E1C2C"/>
  <w15:docId w15:val="{13286241-ED39-4D8C-A625-0CA0045F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color="0563C1"/>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paragraph" w:customStyle="1" w:styleId="MdSpace">
    <w:name w:val="MdSpace"/>
    <w:qFormat/>
    <w:rPr>
      <w:sz w:val="12"/>
      <w:szCs w:val="12"/>
    </w:rPr>
  </w:style>
  <w:style w:type="paragraph" w:customStyle="1" w:styleId="MdCode">
    <w:name w:val="MdCode"/>
    <w:qFormat/>
    <w:pPr>
      <w:pBdr>
        <w:top w:val="single" w:sz="1" w:space="8" w:color="A5A5A5"/>
        <w:left w:val="single" w:sz="1" w:space="8" w:color="A5A5A5"/>
        <w:bottom w:val="single" w:sz="1" w:space="8" w:color="A5A5A5"/>
        <w:right w:val="single" w:sz="1" w:space="8" w:color="A5A5A5"/>
      </w:pBdr>
      <w:spacing w:before="200" w:after="200"/>
    </w:pPr>
    <w:rPr>
      <w:rFonts w:ascii="Courier New" w:eastAsia="Courier New" w:hAnsi="Courier New" w:cs="Courier New"/>
      <w:color w:val="70AD47"/>
      <w:sz w:val="22"/>
      <w:szCs w:val="22"/>
    </w:rPr>
  </w:style>
  <w:style w:type="paragraph" w:customStyle="1" w:styleId="MdHr">
    <w:name w:val="MdHr"/>
    <w:qFormat/>
    <w:pPr>
      <w:pBdr>
        <w:bottom w:val="single" w:sz="1" w:space="1" w:color="A5A5A5"/>
      </w:pBdr>
      <w:spacing w:before="240" w:after="240"/>
    </w:pPr>
  </w:style>
  <w:style w:type="paragraph" w:customStyle="1" w:styleId="MdBlockquote">
    <w:name w:val="MdBlockquote"/>
    <w:qFormat/>
    <w:pPr>
      <w:pBdr>
        <w:left w:val="single" w:sz="20" w:space="12" w:color="A5A5A5"/>
      </w:pBdr>
      <w:spacing w:before="200" w:after="200"/>
      <w:ind w:left="360"/>
    </w:pPr>
    <w:rPr>
      <w:i/>
      <w:iCs/>
      <w:color w:val="666666"/>
    </w:rPr>
  </w:style>
  <w:style w:type="paragraph" w:customStyle="1" w:styleId="MdHtml">
    <w:name w:val="MdHtml"/>
    <w:qFormat/>
    <w:rPr>
      <w:rFonts w:ascii="Courier New" w:eastAsia="Courier New" w:hAnsi="Courier New" w:cs="Courier New"/>
      <w:color w:val="ED7D31"/>
    </w:rPr>
  </w:style>
  <w:style w:type="paragraph" w:customStyle="1" w:styleId="MdDef">
    <w:name w:val="MdDef"/>
    <w:qFormat/>
    <w:pPr>
      <w:ind w:left="720" w:hanging="360"/>
    </w:pPr>
  </w:style>
  <w:style w:type="paragraph" w:customStyle="1" w:styleId="MdParagraph">
    <w:name w:val="MdParagraph"/>
    <w:qFormat/>
    <w:pPr>
      <w:spacing w:before="120" w:after="120"/>
    </w:pPr>
  </w:style>
  <w:style w:type="paragraph" w:customStyle="1" w:styleId="MdText">
    <w:name w:val="MdText"/>
    <w:qFormat/>
  </w:style>
  <w:style w:type="paragraph" w:customStyle="1" w:styleId="MdFootnote">
    <w:name w:val="MdFootnote"/>
    <w:qFormat/>
    <w:rPr>
      <w:vertAlign w:val="superscript"/>
    </w:rPr>
  </w:style>
  <w:style w:type="paragraph" w:customStyle="1" w:styleId="MdListItem">
    <w:name w:val="MdListItem"/>
    <w:qFormat/>
    <w:pPr>
      <w:spacing w:before="60" w:after="60"/>
      <w:ind w:left="720" w:hanging="360"/>
    </w:pPr>
  </w:style>
  <w:style w:type="paragraph" w:customStyle="1" w:styleId="MdTable">
    <w:name w:val="MdTable"/>
    <w:qFormat/>
    <w:pPr>
      <w:spacing w:before="60" w:after="60"/>
    </w:pPr>
  </w:style>
  <w:style w:type="paragraph" w:customStyle="1" w:styleId="MdTableHeader">
    <w:name w:val="MdTableHeader"/>
    <w:qFormat/>
    <w:pPr>
      <w:spacing w:before="60" w:after="60"/>
    </w:pPr>
    <w:rPr>
      <w:b/>
      <w:bCs/>
      <w:sz w:val="22"/>
      <w:szCs w:val="22"/>
    </w:rPr>
  </w:style>
  <w:style w:type="paragraph" w:customStyle="1" w:styleId="MdTableCell">
    <w:name w:val="MdTableCell"/>
    <w:qFormat/>
    <w:pPr>
      <w:spacing w:before="40" w:after="40"/>
    </w:pPr>
    <w:rPr>
      <w:sz w:val="20"/>
      <w:szCs w:val="20"/>
    </w:rPr>
  </w:style>
  <w:style w:type="paragraph" w:customStyle="1" w:styleId="MdHeading1">
    <w:name w:val="MdHeading1"/>
    <w:qFormat/>
    <w:pPr>
      <w:keepNext/>
      <w:spacing w:before="480" w:after="240"/>
      <w:outlineLvl w:val="0"/>
    </w:pPr>
    <w:rPr>
      <w:b/>
      <w:bCs/>
      <w:sz w:val="36"/>
      <w:szCs w:val="36"/>
    </w:rPr>
  </w:style>
  <w:style w:type="paragraph" w:customStyle="1" w:styleId="MdHeading2">
    <w:name w:val="MdHeading2"/>
    <w:qFormat/>
    <w:pPr>
      <w:keepNext/>
      <w:spacing w:before="400" w:after="200"/>
      <w:outlineLvl w:val="1"/>
    </w:pPr>
    <w:rPr>
      <w:b/>
      <w:bCs/>
      <w:sz w:val="32"/>
      <w:szCs w:val="32"/>
    </w:rPr>
  </w:style>
  <w:style w:type="paragraph" w:customStyle="1" w:styleId="MdHeading3">
    <w:name w:val="MdHeading3"/>
    <w:qFormat/>
    <w:pPr>
      <w:keepNext/>
      <w:spacing w:before="320" w:after="160"/>
      <w:outlineLvl w:val="2"/>
    </w:pPr>
    <w:rPr>
      <w:b/>
      <w:bCs/>
      <w:sz w:val="28"/>
      <w:szCs w:val="28"/>
    </w:rPr>
  </w:style>
  <w:style w:type="paragraph" w:customStyle="1" w:styleId="MdHeading4">
    <w:name w:val="MdHeading4"/>
    <w:qFormat/>
    <w:pPr>
      <w:keepNext/>
      <w:spacing w:before="280" w:after="140"/>
      <w:outlineLvl w:val="3"/>
    </w:pPr>
    <w:rPr>
      <w:b/>
      <w:bCs/>
      <w:sz w:val="26"/>
      <w:szCs w:val="26"/>
    </w:rPr>
  </w:style>
  <w:style w:type="paragraph" w:customStyle="1" w:styleId="MdHeading5">
    <w:name w:val="MdHeading5"/>
    <w:qFormat/>
    <w:pPr>
      <w:keepNext/>
      <w:spacing w:before="240" w:after="120"/>
      <w:outlineLvl w:val="4"/>
    </w:pPr>
    <w:rPr>
      <w:b/>
      <w:bCs/>
      <w:i/>
      <w:iCs/>
    </w:rPr>
  </w:style>
  <w:style w:type="paragraph" w:customStyle="1" w:styleId="MdHeading6">
    <w:name w:val="MdHeading6"/>
    <w:qFormat/>
    <w:pPr>
      <w:keepNext/>
      <w:spacing w:before="240" w:after="120"/>
      <w:outlineLvl w:val="5"/>
    </w:pPr>
    <w:rPr>
      <w:i/>
      <w:iCs/>
    </w:rPr>
  </w:style>
  <w:style w:type="character" w:customStyle="1" w:styleId="MdTag">
    <w:name w:val="MdTag"/>
    <w:uiPriority w:val="99"/>
    <w:unhideWhenUsed/>
    <w:qFormat/>
    <w:rPr>
      <w:rFonts w:ascii="Courier New" w:eastAsia="Courier New" w:hAnsi="Courier New" w:cs="Courier New"/>
      <w:color w:val="ED7D31"/>
    </w:rPr>
  </w:style>
  <w:style w:type="character" w:customStyle="1" w:styleId="MdLink">
    <w:name w:val="MdLink"/>
    <w:uiPriority w:val="99"/>
    <w:unhideWhenUsed/>
    <w:qFormat/>
    <w:rPr>
      <w:color w:val="0563C1"/>
      <w:u w:val="single"/>
    </w:rPr>
  </w:style>
  <w:style w:type="character" w:customStyle="1" w:styleId="MdStrong">
    <w:name w:val="MdStrong"/>
    <w:uiPriority w:val="99"/>
    <w:unhideWhenUsed/>
    <w:qFormat/>
    <w:rPr>
      <w:b/>
      <w:bCs/>
    </w:rPr>
  </w:style>
  <w:style w:type="character" w:customStyle="1" w:styleId="MdEm">
    <w:name w:val="MdEm"/>
    <w:uiPriority w:val="99"/>
    <w:unhideWhenUsed/>
    <w:qFormat/>
    <w:rPr>
      <w:i/>
      <w:iCs/>
    </w:rPr>
  </w:style>
  <w:style w:type="character" w:customStyle="1" w:styleId="MdCodespan">
    <w:name w:val="MdCodespan"/>
    <w:uiPriority w:val="99"/>
    <w:unhideWhenUsed/>
    <w:qFormat/>
    <w:rPr>
      <w:rFonts w:ascii="Courier New" w:eastAsia="Courier New" w:hAnsi="Courier New" w:cs="Courier New"/>
      <w:color w:val="70AD47"/>
    </w:rPr>
  </w:style>
  <w:style w:type="character" w:customStyle="1" w:styleId="MdDel">
    <w:name w:val="MdDel"/>
    <w:uiPriority w:val="99"/>
    <w:unhideWhenUsed/>
    <w:qFormat/>
    <w:rPr>
      <w:strike/>
    </w:rPr>
  </w:style>
  <w:style w:type="character" w:customStyle="1" w:styleId="MdBr">
    <w:name w:val="MdBr"/>
    <w:uiPriority w:val="99"/>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7551/mitpress/11805.001.0001" TargetMode="External"/><Relationship Id="rId18" Type="http://schemas.openxmlformats.org/officeDocument/2006/relationships/hyperlink" Target="https://doi.org/10.1145/3531146.3533114" TargetMode="External"/><Relationship Id="rId26" Type="http://schemas.openxmlformats.org/officeDocument/2006/relationships/hyperlink" Target="https://doi.org/10.1145/3715275.3732210" TargetMode="External"/><Relationship Id="rId21" Type="http://schemas.openxmlformats.org/officeDocument/2006/relationships/hyperlink" Target="https://doi.org/10.1145/3600211.3604705" TargetMode="External"/><Relationship Id="rId34" Type="http://schemas.openxmlformats.org/officeDocument/2006/relationships/hyperlink" Target="https://www.resmigazete.gov.tr/eskiler/2026/08/20260818-8.pdf" TargetMode="External"/><Relationship Id="rId7" Type="http://schemas.openxmlformats.org/officeDocument/2006/relationships/hyperlink" Target="https://doi.org/10.1145/3531146.3533083" TargetMode="External"/><Relationship Id="rId12" Type="http://schemas.openxmlformats.org/officeDocument/2006/relationships/hyperlink" Target="https://doi.org/10.2307/1229039" TargetMode="External"/><Relationship Id="rId17" Type="http://schemas.openxmlformats.org/officeDocument/2006/relationships/hyperlink" Target="https://arxiv.org/html/2405.01286v1" TargetMode="External"/><Relationship Id="rId25" Type="http://schemas.openxmlformats.org/officeDocument/2006/relationships/hyperlink" Target="https://doi.org/10.17645/si.v12.7543" TargetMode="External"/><Relationship Id="rId33" Type="http://schemas.openxmlformats.org/officeDocument/2006/relationships/hyperlink" Target="https://www.mevzuat.gov.tr/MevzuatMetin/1.5.2709.pdf"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07/s00146-023-01731-z" TargetMode="External"/><Relationship Id="rId20" Type="http://schemas.openxmlformats.org/officeDocument/2006/relationships/hyperlink" Target="https://doi.org/10.1098/rsta.2017.0359" TargetMode="External"/><Relationship Id="rId29" Type="http://schemas.openxmlformats.org/officeDocument/2006/relationships/hyperlink" Target="https://www.edpb.europa.eu/documents/guideline/automated-decision-making-and-profiling_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hicagounbound.uchicago.edu/uclf/vol1989/iss1/8/" TargetMode="External"/><Relationship Id="rId24" Type="http://schemas.openxmlformats.org/officeDocument/2006/relationships/hyperlink" Target="https://doi.org/10.1145/3287560.3287598" TargetMode="External"/><Relationship Id="rId32" Type="http://schemas.openxmlformats.org/officeDocument/2006/relationships/hyperlink" Target="https://data.europa.eu/eli/reg/2024/1689/oj"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ages.mtu.edu/~jdslack/readings/CSReadings/Haraway_Promises_of_Monsters.pdf" TargetMode="External"/><Relationship Id="rId23" Type="http://schemas.openxmlformats.org/officeDocument/2006/relationships/hyperlink" Target="https://doi.org/10.1093/hrlr/ngac010" TargetMode="External"/><Relationship Id="rId28" Type="http://schemas.openxmlformats.org/officeDocument/2006/relationships/hyperlink" Target="https://www.coe.int/documents/22298481/0/CDCJ%282022%2931E+-+FINAL+6.pdf/4cb20e4b-3da9-d4d4-2da0-65c11cd16116?t=1670943260563" TargetMode="External"/><Relationship Id="rId36" Type="http://schemas.openxmlformats.org/officeDocument/2006/relationships/hyperlink" Target="https://www.mevzuat.gov.tr/mevzuat?MevzuatNo=6698&amp;MevzuatTur=1&amp;MevzuatTertip=5" TargetMode="External"/><Relationship Id="rId10" Type="http://schemas.openxmlformats.org/officeDocument/2006/relationships/hyperlink" Target="https://doi.org/10.21428/96c8d426" TargetMode="External"/><Relationship Id="rId19" Type="http://schemas.openxmlformats.org/officeDocument/2006/relationships/hyperlink" Target="https://doi.org/10.31389/lseppr.110" TargetMode="External"/><Relationship Id="rId31" Type="http://schemas.openxmlformats.org/officeDocument/2006/relationships/hyperlink" Target="https://eur-lex.europa.eu/procedure/EN/2022_303" TargetMode="External"/><Relationship Id="rId4" Type="http://schemas.openxmlformats.org/officeDocument/2006/relationships/webSettings" Target="webSettings.xml"/><Relationship Id="rId9" Type="http://schemas.openxmlformats.org/officeDocument/2006/relationships/hyperlink" Target="https://doi.org/10.4324/9780203900055" TargetMode="External"/><Relationship Id="rId14" Type="http://schemas.openxmlformats.org/officeDocument/2006/relationships/hyperlink" Target="https://www.edpb.europa.eu/documents/guideline/automated-decision-making-and-profiling_en" TargetMode="External"/><Relationship Id="rId22" Type="http://schemas.openxmlformats.org/officeDocument/2006/relationships/hyperlink" Target="https://doi.org/10.1007/s00146-025-02451-2" TargetMode="External"/><Relationship Id="rId27" Type="http://schemas.openxmlformats.org/officeDocument/2006/relationships/hyperlink" Target="https://doi.org/10.1093/ojls/gqab032" TargetMode="External"/><Relationship Id="rId30" Type="http://schemas.openxmlformats.org/officeDocument/2006/relationships/hyperlink" Target="https://eur-lex.europa.eu/eli/reg/2016/679/oj" TargetMode="External"/><Relationship Id="rId35" Type="http://schemas.openxmlformats.org/officeDocument/2006/relationships/hyperlink" Target="http://www.sp.gov.tr/tr/temel-belge/s/214/Ulusal+Yapay+Zek_+Stratejisi+_2021-2025" TargetMode="External"/><Relationship Id="rId8" Type="http://schemas.openxmlformats.org/officeDocument/2006/relationships/hyperlink" Target="https://proceedings.mlr.press/v81/buolamwini18a.html" TargetMode="Externa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tweedekamer.nl/sites/default/files/atoms/files/20201217_eindverslag_parlementaire_ondervragingscommissie_kinderopvangtoeslag.pdf" TargetMode="External"/><Relationship Id="rId1" Type="http://schemas.openxmlformats.org/officeDocument/2006/relationships/hyperlink" Target="https://www.amnesty.org/en/documents/eur35/4686/2021/en/"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6638</Words>
  <Characters>37840</Characters>
  <Application>Microsoft Office Word</Application>
  <DocSecurity>0</DocSecurity>
  <Lines>315</Lines>
  <Paragraphs>88</Paragraphs>
  <ScaleCrop>false</ScaleCrop>
  <Company/>
  <LinksUpToDate>false</LinksUpToDate>
  <CharactersWithSpaces>44390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Converted Document</dc:title>
  <dc:creator>md2docx converter</dc:creator>
  <dc:description>Converted from Markdown</dc:description>
  <cp:lastModifiedBy>Ece Paralı Öztan</cp:lastModifiedBy>
  <cp:revision>2</cp:revision>
  <dcterms:created xsi:type="dcterms:W3CDTF">2026-09-03T18:58:00Z</dcterms:created>
  <dcterms:modified xsi:type="dcterms:W3CDTF">2026-09-03T18:58:00Z</dcterms:modified>
</cp:coreProperties>
</file>