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B716F" w14:textId="781D4F30" w:rsidR="00677EE2" w:rsidRPr="00EA4C5E" w:rsidRDefault="00F35D01" w:rsidP="00114A80">
      <w:pPr>
        <w:jc w:val="center"/>
        <w:rPr>
          <w:b/>
          <w:bCs/>
        </w:rPr>
      </w:pPr>
      <w:proofErr w:type="gramStart"/>
      <w:r>
        <w:rPr>
          <w:b/>
          <w:bCs/>
        </w:rPr>
        <w:t>v</w:t>
      </w:r>
      <w:r w:rsidR="00677EE2" w:rsidRPr="00EA4C5E">
        <w:rPr>
          <w:b/>
          <w:bCs/>
        </w:rPr>
        <w:t>DİJİTAL</w:t>
      </w:r>
      <w:proofErr w:type="gramEnd"/>
      <w:r w:rsidR="00677EE2" w:rsidRPr="00EA4C5E">
        <w:rPr>
          <w:b/>
          <w:bCs/>
        </w:rPr>
        <w:t xml:space="preserve"> KAMUSAL ALANDA EGEMENLİK KRİZİ:</w:t>
      </w:r>
    </w:p>
    <w:p w14:paraId="73C91D98" w14:textId="77777777" w:rsidR="00677EE2" w:rsidRDefault="00677EE2" w:rsidP="00114A80">
      <w:pPr>
        <w:jc w:val="center"/>
        <w:rPr>
          <w:i/>
          <w:iCs/>
          <w:sz w:val="22"/>
          <w:szCs w:val="22"/>
        </w:rPr>
      </w:pPr>
      <w:r w:rsidRPr="00EA4C5E">
        <w:rPr>
          <w:b/>
          <w:bCs/>
        </w:rPr>
        <w:t>ALTYAPI OLARAK ANAYASAYI DÜŞÜNMEK</w:t>
      </w:r>
      <w:r>
        <w:rPr>
          <w:i/>
          <w:iCs/>
          <w:sz w:val="22"/>
          <w:szCs w:val="22"/>
        </w:rPr>
        <w:t xml:space="preserve"> </w:t>
      </w:r>
    </w:p>
    <w:p w14:paraId="4B6782E2" w14:textId="77777777" w:rsidR="00677EE2" w:rsidRDefault="00677EE2" w:rsidP="007D116E">
      <w:pPr>
        <w:spacing w:after="120"/>
        <w:jc w:val="center"/>
        <w:rPr>
          <w:i/>
          <w:iCs/>
          <w:sz w:val="22"/>
          <w:szCs w:val="22"/>
        </w:rPr>
      </w:pPr>
    </w:p>
    <w:p w14:paraId="044729DE" w14:textId="746610B7" w:rsidR="007D116E" w:rsidRDefault="00000000" w:rsidP="007D116E">
      <w:pPr>
        <w:spacing w:after="120"/>
        <w:jc w:val="right"/>
        <w:rPr>
          <w:b/>
          <w:bCs/>
        </w:rPr>
      </w:pPr>
      <w:r>
        <w:rPr>
          <w:b/>
          <w:bCs/>
        </w:rPr>
        <w:t>Deniz POLAT</w:t>
      </w:r>
      <w:r w:rsidR="00114A80">
        <w:rPr>
          <w:rStyle w:val="DipnotBavurusu"/>
          <w:b/>
          <w:bCs/>
        </w:rPr>
        <w:footnoteReference w:id="1"/>
      </w:r>
    </w:p>
    <w:p w14:paraId="199496B3" w14:textId="77777777" w:rsidR="00114A80" w:rsidRDefault="00114A80" w:rsidP="007D116E">
      <w:pPr>
        <w:spacing w:after="120"/>
        <w:jc w:val="right"/>
        <w:rPr>
          <w:b/>
          <w:bCs/>
        </w:rPr>
        <w:sectPr w:rsidR="00114A80" w:rsidSect="00114A80">
          <w:footerReference w:type="default" r:id="rId8"/>
          <w:footnotePr>
            <w:numFmt w:val="chicago"/>
          </w:footnotePr>
          <w:type w:val="continuous"/>
          <w:pgSz w:w="11906" w:h="16838"/>
          <w:pgMar w:top="1417" w:right="1417" w:bottom="1417" w:left="1417" w:header="708" w:footer="708" w:gutter="0"/>
          <w:cols w:space="708"/>
          <w:docGrid w:linePitch="360"/>
        </w:sectPr>
      </w:pPr>
    </w:p>
    <w:p w14:paraId="57F757DE" w14:textId="77777777" w:rsidR="00114A80" w:rsidRDefault="00114A80" w:rsidP="007D116E">
      <w:pPr>
        <w:spacing w:after="120"/>
        <w:jc w:val="right"/>
        <w:rPr>
          <w:b/>
          <w:bCs/>
        </w:rPr>
      </w:pPr>
    </w:p>
    <w:p w14:paraId="6DAC6947" w14:textId="080EEE31" w:rsidR="007D116E" w:rsidRDefault="00000000" w:rsidP="00114A80">
      <w:pPr>
        <w:spacing w:after="120"/>
        <w:ind w:firstLine="708"/>
      </w:pPr>
      <w:r>
        <w:rPr>
          <w:b/>
          <w:bCs/>
          <w:color w:val="000000"/>
          <w:sz w:val="26"/>
          <w:szCs w:val="26"/>
        </w:rPr>
        <w:t>I. GİRİŞ</w:t>
      </w:r>
    </w:p>
    <w:p w14:paraId="46AE15B2" w14:textId="77777777" w:rsidR="007D116E" w:rsidRDefault="007D116E" w:rsidP="007D116E">
      <w:pPr>
        <w:spacing w:after="120"/>
        <w:ind w:firstLine="708"/>
        <w:jc w:val="both"/>
      </w:pPr>
      <w:r w:rsidRPr="00EA4C5E">
        <w:t>Dijitalleşme, yalnızca kamu hizmetlerinin yürütülme biçimini değil, kamu hukukunun geleneksel sacayakları olan devlet, egemenlik ve kişi arasındaki ilişkiyi de dönüştürmektedir. Algoritmik toplumda kamusal alanın sınırları artık yalnızca hukuki normlarla değil, küresel teknoloji şirketlerinin kurduğu platform ekosistemi ve buna bağlı veri iktidarı mimarisi aracılığıyla çizilmektedir</w:t>
      </w:r>
      <w:r w:rsidRPr="00EA4C5E">
        <w:rPr>
          <w:rStyle w:val="DipnotBavurusu"/>
        </w:rPr>
        <w:footnoteReference w:id="2"/>
      </w:r>
      <w:r w:rsidRPr="00EA4C5E">
        <w:t>. Böylece devlet ile kişi arasındaki klasik dikey ilişki yerini devlet, platform ve kullanıcı arasındaki çok katmanlı bir iktidar ilişkisine bırakmaktadır. Bu gelişmeler kamu hukukunun merkezindeki en güncel sorulardan birini yeniden gündeme getirir: Dijital kamusal alana erişimin sınırlarını kim çizer?</w:t>
      </w:r>
    </w:p>
    <w:p w14:paraId="0C87818A" w14:textId="03BB7217" w:rsidR="00D81DBE" w:rsidRDefault="007D116E" w:rsidP="007D116E">
      <w:pPr>
        <w:spacing w:after="120"/>
        <w:ind w:firstLine="708"/>
        <w:jc w:val="both"/>
      </w:pPr>
      <w:r>
        <w:t>K</w:t>
      </w:r>
      <w:r w:rsidR="00D81DBE" w:rsidRPr="00D81DBE">
        <w:t xml:space="preserve">imin kamusal alanda görünür hâle geleceğini, hangi iddiaların dolaşıma gireceğini ve hangi seslerin bu alandan silineceğini </w:t>
      </w:r>
      <w:r>
        <w:t xml:space="preserve">platformlar </w:t>
      </w:r>
      <w:r w:rsidR="00D81DBE" w:rsidRPr="00D81DBE">
        <w:t>belirliyorsa</w:t>
      </w:r>
      <w:r w:rsidR="00D81DBE">
        <w:t xml:space="preserve">, </w:t>
      </w:r>
      <w:r w:rsidR="00D81DBE" w:rsidRPr="00D81DBE">
        <w:t>anayasal sorun hâlâ yalnızca ifade</w:t>
      </w:r>
      <w:r w:rsidR="00D81DBE">
        <w:t xml:space="preserve"> alanını </w:t>
      </w:r>
      <w:r w:rsidR="00D81DBE" w:rsidRPr="00D81DBE">
        <w:t>kimin yönettiği</w:t>
      </w:r>
      <w:r w:rsidR="00D81DBE">
        <w:t xml:space="preserve"> midir; y</w:t>
      </w:r>
      <w:r w:rsidR="00D81DBE" w:rsidRPr="00D81DBE">
        <w:t xml:space="preserve">oksa asıl </w:t>
      </w:r>
      <w:r w:rsidR="00AE0B75">
        <w:t>sorun</w:t>
      </w:r>
      <w:r w:rsidR="00D81DBE" w:rsidRPr="00D81DBE">
        <w:t xml:space="preserve">, kamusal alanda </w:t>
      </w:r>
      <w:r w:rsidR="00AE0B75" w:rsidRPr="00AE0B75">
        <w:t>yurttaşların bilgiye erişme, kanaat oluşturma, görüşlerini görünür kılma ve kamusal tartışmaya etkili biçimde katılma</w:t>
      </w:r>
      <w:r w:rsidR="00AE0B75">
        <w:t xml:space="preserve">sının altyapı </w:t>
      </w:r>
      <w:r w:rsidR="00D81DBE" w:rsidRPr="00D81DBE">
        <w:t>koşulları</w:t>
      </w:r>
      <w:r w:rsidR="00AE0B75">
        <w:t xml:space="preserve">nı </w:t>
      </w:r>
      <w:r w:rsidR="00D81DBE" w:rsidRPr="00D81DBE">
        <w:t xml:space="preserve">kimin </w:t>
      </w:r>
      <w:r w:rsidR="00D81DBE">
        <w:t>belirlediği mi</w:t>
      </w:r>
      <w:r w:rsidR="00D81DBE" w:rsidRPr="00D81DBE">
        <w:t>dir?</w:t>
      </w:r>
    </w:p>
    <w:p w14:paraId="41E80950" w14:textId="62855AE7" w:rsidR="008A0038" w:rsidRDefault="00D11318" w:rsidP="007D116E">
      <w:pPr>
        <w:spacing w:after="120"/>
        <w:ind w:firstLine="566"/>
        <w:jc w:val="both"/>
      </w:pPr>
      <w:r w:rsidRPr="00D11318">
        <w:t>Dijital kamusal alanda bilgiye erişim, kamusal görünürlük ve siyasal tartışmanın koşulları artık yalnızca kurumsal medya, mahkemeler, parlamentolar ya da hükûmetler tarafından biçimlendirilm</w:t>
      </w:r>
      <w:r w:rsidR="00D81DBE" w:rsidRPr="00D11318">
        <w:t>iyor</w:t>
      </w:r>
      <w:r w:rsidRPr="00D11318">
        <w:t>. Bu koşullar, giderek artan biçimde</w:t>
      </w:r>
      <w:r w:rsidR="00D81DBE" w:rsidRPr="00D11318">
        <w:t xml:space="preserve">, </w:t>
      </w:r>
      <w:r w:rsidRPr="00D11318">
        <w:t>küresel teknoloji şirketlerinin</w:t>
      </w:r>
      <w:r w:rsidR="00A16412" w:rsidRPr="00D11318">
        <w:t xml:space="preserve">, sıralama sistemleri </w:t>
      </w:r>
      <w:r w:rsidR="00A16412" w:rsidRPr="00D11318">
        <w:rPr>
          <w:i/>
          <w:iCs/>
        </w:rPr>
        <w:t>(ranking models)</w:t>
      </w:r>
      <w:r w:rsidR="00A16412" w:rsidRPr="00D11318">
        <w:t xml:space="preserve">, öneri sistemleri </w:t>
      </w:r>
      <w:r w:rsidR="00A16412" w:rsidRPr="00D11318">
        <w:rPr>
          <w:i/>
          <w:iCs/>
        </w:rPr>
        <w:t>(recommendation models)</w:t>
      </w:r>
      <w:r w:rsidR="00A16412" w:rsidRPr="00D11318">
        <w:t xml:space="preserve">, içerik moderasyonu mimarileri, doğrulama kuralları, paraya çevirme </w:t>
      </w:r>
      <w:r w:rsidR="00A16412" w:rsidRPr="00D11318">
        <w:rPr>
          <w:i/>
          <w:iCs/>
        </w:rPr>
        <w:t>(monetisation)</w:t>
      </w:r>
      <w:r w:rsidR="00A16412" w:rsidRPr="00D11318">
        <w:t xml:space="preserve"> politikaları ve otomatik denetim mekanizmaları </w:t>
      </w:r>
      <w:r w:rsidR="00A16412" w:rsidRPr="00D11318">
        <w:rPr>
          <w:i/>
          <w:iCs/>
        </w:rPr>
        <w:t>(automated enforcement)</w:t>
      </w:r>
      <w:r w:rsidR="00A16412" w:rsidRPr="00D11318">
        <w:t xml:space="preserve"> gibi </w:t>
      </w:r>
      <w:r w:rsidRPr="00D11318">
        <w:t xml:space="preserve">algoritmik altyapılar tarafından </w:t>
      </w:r>
      <w:r w:rsidR="00D81DBE" w:rsidRPr="00D11318">
        <w:t>şekillendiriliyor</w:t>
      </w:r>
      <w:r w:rsidR="007D116E" w:rsidRPr="00D11318">
        <w:rPr>
          <w:rStyle w:val="DipnotBavurusu"/>
        </w:rPr>
        <w:footnoteReference w:id="3"/>
      </w:r>
      <w:r w:rsidR="00D81DBE" w:rsidRPr="00D11318">
        <w:t>.</w:t>
      </w:r>
      <w:r w:rsidR="00D81DBE">
        <w:t xml:space="preserve"> </w:t>
      </w:r>
      <w:r w:rsidR="00A16412">
        <w:t>B</w:t>
      </w:r>
      <w:r w:rsidR="00A16412" w:rsidRPr="00A16412">
        <w:t>u aktörler iletişime yalnızca ev sahipliği yapm</w:t>
      </w:r>
      <w:r w:rsidR="00A16412">
        <w:t>ıyor;</w:t>
      </w:r>
      <w:r w:rsidR="00A16412" w:rsidRPr="00A16412">
        <w:t xml:space="preserve"> görünürlüğün kendisini örgütl</w:t>
      </w:r>
      <w:r w:rsidR="00A16412">
        <w:t xml:space="preserve">üyorlar. Dolayısıyla, </w:t>
      </w:r>
      <w:r w:rsidR="00A16412" w:rsidRPr="00A16412">
        <w:t>neyin öne çıkarılacağını, neyin geri plana itileceğini ve neyin fiilen görünmez hâle getirileceğini belirl</w:t>
      </w:r>
      <w:r w:rsidR="00A16412">
        <w:t>eyebiliyorlar</w:t>
      </w:r>
      <w:r w:rsidR="00A16412" w:rsidRPr="00A16412">
        <w:t>.</w:t>
      </w:r>
      <w:r>
        <w:t xml:space="preserve"> </w:t>
      </w:r>
      <w:r w:rsidR="00E914B3">
        <w:t>Bu</w:t>
      </w:r>
      <w:r w:rsidR="007D116E">
        <w:t xml:space="preserve"> kapsamda</w:t>
      </w:r>
      <w:r w:rsidR="00E914B3">
        <w:t xml:space="preserve">, </w:t>
      </w:r>
      <w:r w:rsidR="007D116E">
        <w:t xml:space="preserve">temel anayasal </w:t>
      </w:r>
      <w:r w:rsidR="00E914B3">
        <w:t xml:space="preserve">sorun, fiili </w:t>
      </w:r>
      <w:r w:rsidR="00F35D01">
        <w:t xml:space="preserve">norm koyucu </w:t>
      </w:r>
      <w:r w:rsidR="00E914B3">
        <w:t xml:space="preserve">konumundaki algoritmik mekanizmaların anayasal meşruiyetinin nasıl tesis </w:t>
      </w:r>
      <w:r w:rsidR="00E914B3">
        <w:lastRenderedPageBreak/>
        <w:t>edileceğidir</w:t>
      </w:r>
      <w:r w:rsidR="00224B8B">
        <w:rPr>
          <w:rStyle w:val="DipnotBavurusu"/>
        </w:rPr>
        <w:footnoteReference w:id="4"/>
      </w:r>
      <w:r w:rsidR="00E914B3">
        <w:t>.</w:t>
      </w:r>
      <w:r w:rsidR="00E914B3" w:rsidRPr="00E914B3">
        <w:rPr>
          <w:color w:val="FF0000"/>
        </w:rPr>
        <w:t xml:space="preserve"> </w:t>
      </w:r>
      <w:r>
        <w:t xml:space="preserve">İşte bu nedenle </w:t>
      </w:r>
      <w:r w:rsidR="00A16412">
        <w:t>çalışmanın</w:t>
      </w:r>
      <w:r>
        <w:t xml:space="preserve"> </w:t>
      </w:r>
      <w:r w:rsidR="00A16412">
        <w:t>temel savı</w:t>
      </w:r>
      <w:r>
        <w:t>, anayasa kuramının devlet-eylemi (state-action) paradigmasından sistem-eylemi (system-action) paradigmasına geçmek zorunda olduğudur.</w:t>
      </w:r>
      <w:r w:rsidR="00E914B3">
        <w:t xml:space="preserve"> </w:t>
      </w:r>
    </w:p>
    <w:p w14:paraId="08A4AAE7" w14:textId="7E8F296D" w:rsidR="00957BB6" w:rsidRPr="00957BB6" w:rsidRDefault="00957BB6" w:rsidP="00957BB6">
      <w:pPr>
        <w:spacing w:after="120"/>
        <w:ind w:firstLine="566"/>
        <w:jc w:val="both"/>
      </w:pPr>
      <w:r w:rsidRPr="00957BB6">
        <w:t>Çalışma, belirli bir teknolojik düzenlemenin çözümlenmesini değil, kamusal alana katılım ile hukuki özne olarak tanınmanın koşullarını fiilen belirleyen platform ekosisteminin anayasal düzlemde nasıl konumlandırılması gerektiğini konu edinmektedir. Bu</w:t>
      </w:r>
      <w:r>
        <w:t xml:space="preserve"> yaklaşım</w:t>
      </w:r>
      <w:r w:rsidRPr="00957BB6">
        <w:t>, dijital vatandaşlık ve siyasal katılma temaları üzerinden somutlaştırılmaktadır</w:t>
      </w:r>
      <w:r>
        <w:t>. A</w:t>
      </w:r>
      <w:r w:rsidRPr="00957BB6">
        <w:t>lgoritmik toplumda siyasal katılmanın fiilî altyapısı büyük ölçüde özel platformların denetimindedir. Söz konusu altyapının kamusal işlevi karşısında platformlar, temel hakların etkili biçimde kullanılabilmesi bakımından artık yalnızca teknik aracılar olarak değil, yükümlü aracı (</w:t>
      </w:r>
      <w:r w:rsidRPr="00957BB6">
        <w:rPr>
          <w:i/>
          <w:iCs/>
        </w:rPr>
        <w:t>duty-bearing intermediary</w:t>
      </w:r>
      <w:r w:rsidRPr="00957BB6">
        <w:t xml:space="preserve">) </w:t>
      </w:r>
      <w:r w:rsidR="00F35D01">
        <w:t xml:space="preserve">niteliğinde </w:t>
      </w:r>
      <w:r w:rsidRPr="00957BB6">
        <w:t>değerlendirilmelidir.</w:t>
      </w:r>
      <w:r>
        <w:t xml:space="preserve"> </w:t>
      </w:r>
      <w:r w:rsidRPr="00957BB6">
        <w:t>Bu tespit, usulî anayasacılık (</w:t>
      </w:r>
      <w:r w:rsidRPr="00957BB6">
        <w:rPr>
          <w:i/>
          <w:iCs/>
        </w:rPr>
        <w:t>procedural constitutionalism</w:t>
      </w:r>
      <w:r w:rsidRPr="00957BB6">
        <w:t>) yaklaşımının işletilmesini ve bu kapsamda birbirini tamamlayan iki anayasal çerçevenin birlikte ele alınmasını gerekli kılmaktadır: hakların tasarım yoluyla korunması (</w:t>
      </w:r>
      <w:r w:rsidRPr="00957BB6">
        <w:rPr>
          <w:i/>
          <w:iCs/>
        </w:rPr>
        <w:t>rights by design</w:t>
      </w:r>
      <w:r w:rsidRPr="00957BB6">
        <w:t>) ve dijital usulî güvenceler (</w:t>
      </w:r>
      <w:r w:rsidRPr="00957BB6">
        <w:rPr>
          <w:i/>
          <w:iCs/>
        </w:rPr>
        <w:t>digital due process</w:t>
      </w:r>
      <w:r w:rsidRPr="00957BB6">
        <w:t>). Hakların algoritmik mimariye gömülmesi tek başına yeterli olmadığından, tasarım düzeyindeki güvenceler ancak usulî güvencelerle birlikte anlam kazanmaktadır. Nitekim usulî anayasacılığın taşıdığı demokratik vaat de, bu teknik ve usulî güvencelerin demokratik denetim mekanizmaları ve maddi hak korumalarıyla birlikte işlerlik kazanması hâlinde gerçekleşebilir.</w:t>
      </w:r>
    </w:p>
    <w:p w14:paraId="74D24E05" w14:textId="0A05C364" w:rsidR="00957BB6" w:rsidRDefault="00957BB6" w:rsidP="007D116E">
      <w:pPr>
        <w:spacing w:after="120"/>
        <w:ind w:firstLine="566"/>
        <w:jc w:val="both"/>
      </w:pPr>
      <w:r w:rsidRPr="00957BB6">
        <w:t>Bu çerçevede çalışma, dört soru etrafında ilerle</w:t>
      </w:r>
      <w:r>
        <w:t>yerek</w:t>
      </w:r>
      <w:r w:rsidR="00F35D01">
        <w:t xml:space="preserve"> (</w:t>
      </w:r>
      <w:r w:rsidRPr="00EA4C5E">
        <w:t xml:space="preserve">i) dijital kamusal alanın platform mimarisi aracılığıyla nasıl yapılandırıldığını, (ii) teknoloji şirketlerinin fiilen kamusal yetki kullanım biçimlerini, (iii) bu yetkinin klasik egemenlik anlayışı ve meşru güç kullanma tekeli bakımından nasıl değerlendirilmesi gerektiğini ve (iv) ortaya çıkan hak ihlallerine karşı hangi anayasal güvencelerin geliştirilebileceğini incelemeyi amaçlamaktadır. </w:t>
      </w:r>
    </w:p>
    <w:p w14:paraId="6D11CD28" w14:textId="77777777" w:rsidR="00E973A0" w:rsidRDefault="00E973A0" w:rsidP="00A773D7">
      <w:pPr>
        <w:spacing w:after="120"/>
        <w:ind w:left="566"/>
        <w:jc w:val="both"/>
        <w:rPr>
          <w:b/>
          <w:bCs/>
        </w:rPr>
      </w:pPr>
      <w:r w:rsidRPr="00E973A0">
        <w:rPr>
          <w:b/>
          <w:bCs/>
        </w:rPr>
        <w:t>II. ALGORİTMİK TOPLUMDA DEVLET-EYLEMİ PARADİGMASINDAN SİSTEM-EYLEMİ PARADİGMASINA GEÇİ</w:t>
      </w:r>
      <w:r>
        <w:rPr>
          <w:b/>
          <w:bCs/>
        </w:rPr>
        <w:t>Ş</w:t>
      </w:r>
    </w:p>
    <w:p w14:paraId="5BD024A4" w14:textId="4D2AC6E1" w:rsidR="008A0038" w:rsidRDefault="005453BD" w:rsidP="000C6CB6">
      <w:pPr>
        <w:spacing w:after="120"/>
        <w:ind w:firstLine="566"/>
        <w:jc w:val="both"/>
      </w:pPr>
      <w:r>
        <w:t xml:space="preserve">Geleneksel anayasa hukuku tanıdık bir üçgen üzerine kurulmuştur: </w:t>
      </w:r>
      <w:r w:rsidR="000C6CB6" w:rsidRPr="000C6CB6">
        <w:t xml:space="preserve">Devlet, hukuken tanınmış zor kullanma yetkisinin ve bağlayıcı karar alma gücünün sahibi; birey, bu iktidar karşısında haklarla donatılmış özne; anayasa hukuku ise siyasal iktidarı kuran, yetkilendiren ve aynı zamanda sınırlayan normatif düzendir. </w:t>
      </w:r>
      <w:r w:rsidR="000C6CB6">
        <w:t xml:space="preserve">Bu </w:t>
      </w:r>
      <w:r w:rsidR="000C6CB6" w:rsidRPr="000C6CB6">
        <w:t>mimari, kamusal iktidarın devlette toplandığı ve temel hakların öncelikle bu iktidara karşı ileri sürüldüğü dikey bir ilişki modeline dayanır.</w:t>
      </w:r>
      <w:r w:rsidR="000C6CB6">
        <w:t xml:space="preserve"> </w:t>
      </w:r>
      <w:r w:rsidRPr="005453BD">
        <w:t>Ancak algoritmik toplumda bu ilişki artık</w:t>
      </w:r>
      <w:r>
        <w:t xml:space="preserve"> yalnızca</w:t>
      </w:r>
      <w:r w:rsidRPr="005453BD">
        <w:t xml:space="preserve"> dikey değildir. Devlet ile birey arasın</w:t>
      </w:r>
      <w:r w:rsidR="000C6CB6">
        <w:t>a</w:t>
      </w:r>
      <w:r w:rsidRPr="005453BD">
        <w:t xml:space="preserve"> bugün platform</w:t>
      </w:r>
      <w:r w:rsidR="005B1E65">
        <w:t xml:space="preserve"> ekosistemi</w:t>
      </w:r>
      <w:r w:rsidRPr="005453BD">
        <w:t xml:space="preserve">, </w:t>
      </w:r>
      <w:r>
        <w:t xml:space="preserve">veri altyapıları, yapay zekâ sistemleri, </w:t>
      </w:r>
      <w:r w:rsidRPr="005453BD">
        <w:t>Silikon Vadisi devleri</w:t>
      </w:r>
      <w:r>
        <w:t xml:space="preserve"> ve </w:t>
      </w:r>
      <w:r w:rsidRPr="005453BD">
        <w:t>büyük teknoloji şirketleri</w:t>
      </w:r>
      <w:r>
        <w:t xml:space="preserve"> </w:t>
      </w:r>
      <w:r w:rsidRPr="005453BD">
        <w:t>yer</w:t>
      </w:r>
      <w:r w:rsidR="000C6CB6">
        <w:t>leşmiştir</w:t>
      </w:r>
      <w:r w:rsidR="000C6CB6">
        <w:rPr>
          <w:rStyle w:val="DipnotBavurusu"/>
        </w:rPr>
        <w:footnoteReference w:id="5"/>
      </w:r>
      <w:r w:rsidR="000C6CB6">
        <w:t xml:space="preserve">. </w:t>
      </w:r>
      <w:r>
        <w:t>Bu çer</w:t>
      </w:r>
      <w:r w:rsidR="00F35D01">
        <w:t>çe</w:t>
      </w:r>
      <w:r>
        <w:t>vede, dijitalleşmeyle birlikte devlet-kişi arasındaki klasik ilişkinin aşındığı; kişi haklarını etkileyen kararların önemli bir bölümünün artık ulusötesi şirketlerin kontrolündeki platformlarda alındığı bir gerçektir. Artık o</w:t>
      </w:r>
      <w:r w:rsidRPr="005453BD">
        <w:t xml:space="preserve">mzumuzun üzerinden bizi izleyen yegâne aktör devlet değil. </w:t>
      </w:r>
      <w:r>
        <w:t>Dijital kamusal alanda veri p</w:t>
      </w:r>
      <w:r w:rsidRPr="005453BD">
        <w:t>aylaş</w:t>
      </w:r>
      <w:r>
        <w:t>arak</w:t>
      </w:r>
      <w:r w:rsidRPr="005453BD">
        <w:t>, gönderi yayımla</w:t>
      </w:r>
      <w:r>
        <w:t>yarak</w:t>
      </w:r>
      <w:r w:rsidRPr="005453BD">
        <w:t>, puanla</w:t>
      </w:r>
      <w:r>
        <w:t xml:space="preserve">yarak </w:t>
      </w:r>
      <w:r w:rsidRPr="005453BD">
        <w:t>ve kendimizi sergile</w:t>
      </w:r>
      <w:r>
        <w:t>yerek g</w:t>
      </w:r>
      <w:r w:rsidRPr="005453BD">
        <w:t>örünürlüğümüzü aşağıdan</w:t>
      </w:r>
      <w:r>
        <w:t xml:space="preserve"> yukarıya</w:t>
      </w:r>
      <w:r w:rsidRPr="005453BD">
        <w:t>, bizzat kendimiz üreti</w:t>
      </w:r>
      <w:r>
        <w:t xml:space="preserve">yoruz. </w:t>
      </w:r>
      <w:r w:rsidRPr="005453BD">
        <w:t xml:space="preserve">Dijital şeffaflığın paradoksu </w:t>
      </w:r>
      <w:r w:rsidR="000C6CB6">
        <w:t xml:space="preserve">da </w:t>
      </w:r>
      <w:r w:rsidRPr="005453BD">
        <w:t>tam burada yat</w:t>
      </w:r>
      <w:r>
        <w:t>ıyor</w:t>
      </w:r>
      <w:r w:rsidR="005B1E65">
        <w:t xml:space="preserve">. </w:t>
      </w:r>
      <w:r w:rsidRPr="005453BD">
        <w:t>Biz ne kadar görünür hâle gelirsek, bizi yöneten altyapılar o ölçüde görünmez</w:t>
      </w:r>
      <w:r>
        <w:t xml:space="preserve"> hâle gel</w:t>
      </w:r>
      <w:r w:rsidR="004F0C9A">
        <w:t>ebiliyor</w:t>
      </w:r>
      <w:r w:rsidR="000C6CB6">
        <w:rPr>
          <w:rStyle w:val="DipnotBavurusu"/>
        </w:rPr>
        <w:footnoteReference w:id="6"/>
      </w:r>
      <w:r w:rsidR="000C6CB6">
        <w:t xml:space="preserve">. </w:t>
      </w:r>
      <w:r w:rsidR="005B1E65">
        <w:t>Şeffaflık toplumu bir güven toplumu değil, bir kontrol toplumu olarak çalışıyor</w:t>
      </w:r>
      <w:r w:rsidR="000C6CB6">
        <w:rPr>
          <w:rStyle w:val="DipnotBavurusu"/>
        </w:rPr>
        <w:footnoteReference w:id="7"/>
      </w:r>
      <w:r w:rsidR="005B1E65">
        <w:t xml:space="preserve">. </w:t>
      </w:r>
      <w:r w:rsidR="000C6CB6" w:rsidRPr="000C6CB6">
        <w:t xml:space="preserve">Elbette bu dönüşüm, devletin siyasal ve düzenleyici aktör olarak ortadan kalktığı anlamına gelmemektedir. Aksine devletler, platformlarla iş birliği yapmakta, onlar üzerinde çeşitli baskı mekanizmaları </w:t>
      </w:r>
      <w:r w:rsidR="000C6CB6" w:rsidRPr="000C6CB6">
        <w:lastRenderedPageBreak/>
        <w:t>kurmakta ve kimi durumlarda bu yapıların teknik kapasitesinden doğrudan yararlanmaktadır. Bununla birlikte</w:t>
      </w:r>
      <w:r w:rsidR="000C6CB6">
        <w:t>,</w:t>
      </w:r>
      <w:r w:rsidR="000C6CB6" w:rsidRPr="000C6CB6">
        <w:t xml:space="preserve"> kamusal alanın kurumsal yapısı değişmiş; </w:t>
      </w:r>
      <w:r w:rsidR="000C6CB6">
        <w:t>devlet,</w:t>
      </w:r>
      <w:r w:rsidR="000C6CB6" w:rsidRPr="000C6CB6">
        <w:t xml:space="preserve"> özel platformlar ve algoritmik sistemlerin karşılıklı etkileşimiyle şekillenen melez yönetişim ve düzenleme biçimleri içinde işlemeye başlamıştır</w:t>
      </w:r>
      <w:r w:rsidR="000C6CB6">
        <w:rPr>
          <w:rStyle w:val="DipnotBavurusu"/>
        </w:rPr>
        <w:footnoteReference w:id="8"/>
      </w:r>
      <w:r w:rsidR="000C6CB6">
        <w:t>. Dolayısıyla, d</w:t>
      </w:r>
      <w:r w:rsidR="00A32B73">
        <w:t>ijitalleşmiş toplumda fiili norm koyucu</w:t>
      </w:r>
      <w:r w:rsidR="00F35D01">
        <w:t>lar</w:t>
      </w:r>
      <w:r w:rsidR="00A32B73">
        <w:t xml:space="preserve"> söz konusu algoritmik ekosistemlerdir</w:t>
      </w:r>
      <w:r w:rsidR="000C6CB6">
        <w:rPr>
          <w:rStyle w:val="DipnotBavurusu"/>
        </w:rPr>
        <w:footnoteReference w:id="9"/>
      </w:r>
      <w:r w:rsidR="00A32B73">
        <w:t>.</w:t>
      </w:r>
    </w:p>
    <w:p w14:paraId="0FF52F05" w14:textId="52624630" w:rsidR="00456108" w:rsidRDefault="00090E3F" w:rsidP="00090E3F">
      <w:pPr>
        <w:spacing w:after="120"/>
        <w:ind w:firstLine="566"/>
        <w:jc w:val="both"/>
      </w:pPr>
      <w:r w:rsidRPr="00090E3F">
        <w:t>Artık yalnızca Antroposen çağında değiliz; aynı zamanda algoritmik toplumlarda yaşıyoruz. Bu durum, kamusal alana katılımın yalnızca ve doğrudan devlet eliyle değil, dijital altyapılar yoluyla da biçimlendirilebildiği anlamına gel</w:t>
      </w:r>
      <w:r w:rsidR="00FC574D">
        <w:t>iyor</w:t>
      </w:r>
      <w:r>
        <w:rPr>
          <w:rStyle w:val="DipnotBavurusu"/>
        </w:rPr>
        <w:footnoteReference w:id="10"/>
      </w:r>
      <w:r w:rsidRPr="00090E3F">
        <w:t xml:space="preserve">. </w:t>
      </w:r>
      <w:r w:rsidR="00FC574D">
        <w:t>Bu kapsamda, p</w:t>
      </w:r>
      <w:r w:rsidRPr="00090E3F">
        <w:t>latform iktidarı, hukuki ve kurumsal olarak inşa edilmiş olmakla birlikte, günümüzde önemli bir epistemik gücü elinde tutmaktadır</w:t>
      </w:r>
      <w:r w:rsidR="000C6CB6">
        <w:rPr>
          <w:rStyle w:val="DipnotBavurusu"/>
        </w:rPr>
        <w:footnoteReference w:id="11"/>
      </w:r>
      <w:r w:rsidR="0016434C">
        <w:t xml:space="preserve">. </w:t>
      </w:r>
      <w:r w:rsidRPr="00090E3F">
        <w:rPr>
          <w:color w:val="000000" w:themeColor="text1"/>
        </w:rPr>
        <w:t>Dolayısıyla</w:t>
      </w:r>
      <w:r>
        <w:rPr>
          <w:color w:val="000000" w:themeColor="text1"/>
        </w:rPr>
        <w:t xml:space="preserve">, </w:t>
      </w:r>
      <w:r w:rsidRPr="00090E3F">
        <w:rPr>
          <w:color w:val="000000" w:themeColor="text1"/>
        </w:rPr>
        <w:t xml:space="preserve">bu süreci bir paradigma değişimi olarak değerlendirmek ve </w:t>
      </w:r>
      <w:r>
        <w:rPr>
          <w:color w:val="000000" w:themeColor="text1"/>
        </w:rPr>
        <w:t>“</w:t>
      </w:r>
      <w:r w:rsidRPr="00090E3F">
        <w:rPr>
          <w:color w:val="000000" w:themeColor="text1"/>
        </w:rPr>
        <w:t>devlet</w:t>
      </w:r>
      <w:r>
        <w:rPr>
          <w:color w:val="000000" w:themeColor="text1"/>
        </w:rPr>
        <w:t>-</w:t>
      </w:r>
      <w:r w:rsidRPr="00090E3F">
        <w:rPr>
          <w:color w:val="000000" w:themeColor="text1"/>
        </w:rPr>
        <w:t>eylemi paradigmasından</w:t>
      </w:r>
      <w:r>
        <w:rPr>
          <w:color w:val="000000" w:themeColor="text1"/>
        </w:rPr>
        <w:t xml:space="preserve"> </w:t>
      </w:r>
      <w:r w:rsidRPr="00090E3F">
        <w:rPr>
          <w:i/>
          <w:iCs/>
          <w:color w:val="000000" w:themeColor="text1"/>
        </w:rPr>
        <w:t>(state-action paradigm</w:t>
      </w:r>
      <w:r>
        <w:rPr>
          <w:i/>
          <w:iCs/>
          <w:color w:val="000000" w:themeColor="text1"/>
        </w:rPr>
        <w:t>)</w:t>
      </w:r>
      <w:r>
        <w:rPr>
          <w:color w:val="000000" w:themeColor="text1"/>
        </w:rPr>
        <w:t xml:space="preserve">” </w:t>
      </w:r>
      <w:r w:rsidRPr="00090E3F">
        <w:rPr>
          <w:color w:val="000000" w:themeColor="text1"/>
        </w:rPr>
        <w:t xml:space="preserve">“sistem-eylemi paradigmasına </w:t>
      </w:r>
      <w:r w:rsidRPr="00090E3F">
        <w:rPr>
          <w:i/>
          <w:iCs/>
          <w:color w:val="000000" w:themeColor="text1"/>
        </w:rPr>
        <w:t>(system-action paradigm)</w:t>
      </w:r>
      <w:r>
        <w:rPr>
          <w:color w:val="000000" w:themeColor="text1"/>
        </w:rPr>
        <w:t xml:space="preserve">” </w:t>
      </w:r>
      <w:r w:rsidRPr="00090E3F">
        <w:rPr>
          <w:color w:val="000000" w:themeColor="text1"/>
        </w:rPr>
        <w:t>geçildiğini kabul etmek gerekir. Bu paradigma, anayasal etkilerin her zaman belirli bir devlet işlemi veya teşhis edilebilir bir fail aracılığıyla değil</w:t>
      </w:r>
      <w:r w:rsidR="00FC574D">
        <w:rPr>
          <w:color w:val="000000" w:themeColor="text1"/>
        </w:rPr>
        <w:t>;</w:t>
      </w:r>
      <w:r w:rsidRPr="00090E3F">
        <w:rPr>
          <w:color w:val="000000" w:themeColor="text1"/>
        </w:rPr>
        <w:t xml:space="preserve"> kimi zaman dijital mimariler, sıralama sistemleri ve otomatik karar süreçleri içinde üretildiğini göstermektedir.</w:t>
      </w:r>
    </w:p>
    <w:p w14:paraId="7F8DB599" w14:textId="31140117" w:rsidR="00090E3F" w:rsidRDefault="00090E3F" w:rsidP="007D116E">
      <w:pPr>
        <w:spacing w:after="120"/>
        <w:ind w:firstLine="566"/>
        <w:jc w:val="both"/>
      </w:pPr>
      <w:r w:rsidRPr="00090E3F">
        <w:t xml:space="preserve">Söz konusu paradigma değişiminin kuramsal arka planı yeni değildir. Modern toplumun tek bir merkez etrafında örgütlenmediğini; hukuk, siyaset, ekonomi, bilim ve medyanın kendilerine özgü iletişim kodlarıyla işleyen, işlevsel olarak farklılaşmış sistemler oluşturduğunu kabul eden </w:t>
      </w:r>
      <w:r w:rsidR="007758BB">
        <w:t>“</w:t>
      </w:r>
      <w:r w:rsidRPr="00090E3F">
        <w:t>sistem kura</w:t>
      </w:r>
      <w:r w:rsidR="007758BB">
        <w:t>mı</w:t>
      </w:r>
      <w:r w:rsidRPr="00090E3F">
        <w:t xml:space="preserve"> </w:t>
      </w:r>
      <w:r w:rsidR="007758BB" w:rsidRPr="007758BB">
        <w:rPr>
          <w:i/>
          <w:iCs/>
        </w:rPr>
        <w:t>(Systemtheorie)</w:t>
      </w:r>
      <w:r w:rsidR="007758BB">
        <w:t xml:space="preserve">” </w:t>
      </w:r>
      <w:r w:rsidRPr="00090E3F">
        <w:t>yaklaşım</w:t>
      </w:r>
      <w:r w:rsidR="007758BB">
        <w:t>ı</w:t>
      </w:r>
      <w:r w:rsidRPr="00090E3F">
        <w:t>, bu dönüşümü açıklamak bakımından elverişli bir çerçeve sun</w:t>
      </w:r>
      <w:r>
        <w:t>ar</w:t>
      </w:r>
      <w:r>
        <w:rPr>
          <w:rStyle w:val="DipnotBavurusu"/>
        </w:rPr>
        <w:footnoteReference w:id="12"/>
      </w:r>
      <w:r>
        <w:t>.</w:t>
      </w:r>
      <w:r w:rsidRPr="00090E3F">
        <w:t xml:space="preserve"> Platformlar, farklı sistem mantıkları arasında dönüşüm üreten sosyo-teknik düğümler olarak işlev görü</w:t>
      </w:r>
      <w:r>
        <w:t>r.</w:t>
      </w:r>
      <w:r w:rsidRPr="00090E3F">
        <w:t xml:space="preserve"> Ekonomik teşvikleri teknik tasarıma, teknik tasarımı iletişimsel görünürlüğe, iletişimsel görünürlüğü siyasal etkiye ve hukuki uyumu otomatik moderasyona çevirirler. Anayasal sorunların yalnızca devlet alanında değil, özerk toplumsal sektörlerde ve ulusötesi özel rejimlerde de ortaya çıkabileceğini savunan </w:t>
      </w:r>
      <w:r w:rsidR="007758BB">
        <w:t>“</w:t>
      </w:r>
      <w:r w:rsidRPr="00090E3F">
        <w:t xml:space="preserve">toplumsal anayasacılık </w:t>
      </w:r>
      <w:r w:rsidR="007758BB" w:rsidRPr="007758BB">
        <w:rPr>
          <w:i/>
          <w:iCs/>
        </w:rPr>
        <w:t>(Gesellschaftlicher Konstitutionalismus)</w:t>
      </w:r>
      <w:r w:rsidR="007758BB">
        <w:t xml:space="preserve">” </w:t>
      </w:r>
      <w:r w:rsidRPr="00090E3F">
        <w:t>yaklaşımı ise bu</w:t>
      </w:r>
      <w:r>
        <w:t xml:space="preserve"> </w:t>
      </w:r>
      <w:r w:rsidR="007758BB">
        <w:t>argümanı</w:t>
      </w:r>
      <w:r w:rsidRPr="00090E3F">
        <w:t xml:space="preserve"> tamamla</w:t>
      </w:r>
      <w:r>
        <w:t>r</w:t>
      </w:r>
      <w:r>
        <w:rPr>
          <w:rStyle w:val="DipnotBavurusu"/>
        </w:rPr>
        <w:footnoteReference w:id="13"/>
      </w:r>
      <w:r>
        <w:t>.</w:t>
      </w:r>
      <w:r w:rsidRPr="00090E3F">
        <w:t xml:space="preserve"> Bu iki kuramsal hat birlikte ele alındığında, platform anayasacılığının devlet merkezli anayasa kuramının kavramsal sınırlarını neden zorladığı açıkça görül</w:t>
      </w:r>
      <w:r>
        <w:t>ebilmektedir</w:t>
      </w:r>
      <w:r w:rsidRPr="00090E3F">
        <w:t>.</w:t>
      </w:r>
    </w:p>
    <w:p w14:paraId="19944803" w14:textId="1C2A390F" w:rsidR="0016434C" w:rsidRDefault="0016434C" w:rsidP="007D116E">
      <w:pPr>
        <w:spacing w:after="120"/>
        <w:ind w:firstLine="566"/>
        <w:jc w:val="both"/>
      </w:pPr>
      <w:r w:rsidRPr="0016434C">
        <w:t xml:space="preserve">Bu dönüşüm, disiplin ve denetim toplumlarına ilişkin kuramlarda öngörülen gelişmelerin bir devamı olarak </w:t>
      </w:r>
      <w:r w:rsidR="00090E3F">
        <w:t xml:space="preserve">da </w:t>
      </w:r>
      <w:r w:rsidRPr="0016434C">
        <w:t xml:space="preserve">görülebilir. Bununla birlikte, bugün karşı karşıya olduğumuz yapı </w:t>
      </w:r>
      <w:r w:rsidRPr="0016434C">
        <w:rPr>
          <w:i/>
          <w:iCs/>
        </w:rPr>
        <w:t>Bentham</w:t>
      </w:r>
      <w:r w:rsidRPr="0016434C">
        <w:t>’ın panoptikonunun basitçe dijital ortama aktarılmış biçimi değildir</w:t>
      </w:r>
      <w:r w:rsidR="002B582B">
        <w:t>.</w:t>
      </w:r>
      <w:r w:rsidRPr="0016434C">
        <w:rPr>
          <w:color w:val="FF0000"/>
        </w:rPr>
        <w:t xml:space="preserve"> </w:t>
      </w:r>
      <w:r w:rsidRPr="0016434C">
        <w:t xml:space="preserve">Klasik panoptikon, </w:t>
      </w:r>
      <w:r w:rsidR="002B582B">
        <w:t xml:space="preserve">bir disiplin toplumu fenomeniydi ve </w:t>
      </w:r>
      <w:r w:rsidRPr="0016434C">
        <w:t>görünür bir merkezden yürütülen gözetim</w:t>
      </w:r>
      <w:r w:rsidR="002B582B">
        <w:t xml:space="preserve">e, </w:t>
      </w:r>
      <w:r w:rsidR="00F35D01" w:rsidRPr="00F35D01">
        <w:t>mahkûmların</w:t>
      </w:r>
      <w:r w:rsidR="00F35D01">
        <w:t xml:space="preserve"> </w:t>
      </w:r>
      <w:r w:rsidR="002B582B">
        <w:t xml:space="preserve">yalıtılmışlığına ve </w:t>
      </w:r>
      <w:r w:rsidRPr="0016434C">
        <w:t>disipliner kapatılma mantığına dayanıyordu. Dijital altyapılar ise farklı biçimde işler</w:t>
      </w:r>
      <w:r w:rsidR="002B582B">
        <w:t xml:space="preserve">. </w:t>
      </w:r>
      <w:r w:rsidRPr="0016434C">
        <w:t>Davranışları merkezî, tek yönlü ve dışsal bir gözetim yoluyla değil;</w:t>
      </w:r>
      <w:r w:rsidR="002B582B">
        <w:t xml:space="preserve"> </w:t>
      </w:r>
      <w:r w:rsidRPr="0016434C">
        <w:t>dağıtık</w:t>
      </w:r>
      <w:r w:rsidR="002B582B">
        <w:t xml:space="preserve">, </w:t>
      </w:r>
      <w:r w:rsidRPr="0016434C">
        <w:t>katılımcı</w:t>
      </w:r>
      <w:r w:rsidR="002B582B">
        <w:t xml:space="preserve"> ve </w:t>
      </w:r>
      <w:r w:rsidRPr="0016434C">
        <w:t xml:space="preserve">ağ temelli davranış </w:t>
      </w:r>
      <w:r w:rsidR="002B582B">
        <w:t xml:space="preserve">düzenleme </w:t>
      </w:r>
      <w:r w:rsidRPr="0016434C">
        <w:t>mekanizmaları aracılığıyla yönlendirirler</w:t>
      </w:r>
      <w:r w:rsidR="00090E3F">
        <w:rPr>
          <w:rStyle w:val="DipnotBavurusu"/>
        </w:rPr>
        <w:footnoteReference w:id="14"/>
      </w:r>
      <w:r w:rsidR="00090E3F">
        <w:t xml:space="preserve">. </w:t>
      </w:r>
      <w:r w:rsidR="00090E3F">
        <w:lastRenderedPageBreak/>
        <w:t>B</w:t>
      </w:r>
      <w:r w:rsidRPr="0016434C">
        <w:t xml:space="preserve">u düzende </w:t>
      </w:r>
      <w:r w:rsidR="00090E3F">
        <w:t xml:space="preserve">bireyler </w:t>
      </w:r>
      <w:r w:rsidRPr="0016434C">
        <w:t>yalnızca gözetlenen nesneler değildir; paylaşarak, puanlayarak, tıklayarak ve kendilerini sürekli görünür kılarak gözetim ve yönlendirme altyapısının üretimine bizzat katılırlar</w:t>
      </w:r>
      <w:r w:rsidR="00090E3F">
        <w:rPr>
          <w:rStyle w:val="DipnotBavurusu"/>
        </w:rPr>
        <w:footnoteReference w:id="15"/>
      </w:r>
      <w:r w:rsidRPr="0016434C">
        <w:t>.</w:t>
      </w:r>
      <w:r w:rsidR="002B582B">
        <w:t xml:space="preserve"> </w:t>
      </w:r>
    </w:p>
    <w:p w14:paraId="4B8D5A31" w14:textId="0AADD59A" w:rsidR="00473874" w:rsidRDefault="00313D57" w:rsidP="007D116E">
      <w:pPr>
        <w:spacing w:after="120"/>
        <w:ind w:firstLine="566"/>
        <w:jc w:val="both"/>
      </w:pPr>
      <w:r>
        <w:t>Bu noktada felsefi sorun somutlaş</w:t>
      </w:r>
      <w:r w:rsidR="007758BB">
        <w:t>ır</w:t>
      </w:r>
      <w:r>
        <w:t>. Modern siyasal düşünce, görünürlüğü çoğu zaman</w:t>
      </w:r>
      <w:r w:rsidR="00AE0B75">
        <w:t xml:space="preserve"> </w:t>
      </w:r>
      <w:r>
        <w:t>sahicilik ve özgürleşmeyle ilişkilendirmiştir. Mağara alegorisinden modern şeffaflık idealine kadar teşhir, sıklıkla yanılsamadan, tahakkümden ve gizlemeden çıkışın yolu olarak tasavvur edilmiştir</w:t>
      </w:r>
      <w:r w:rsidR="007758BB">
        <w:rPr>
          <w:rStyle w:val="DipnotBavurusu"/>
        </w:rPr>
        <w:footnoteReference w:id="16"/>
      </w:r>
      <w:r w:rsidR="007758BB">
        <w:t xml:space="preserve">. </w:t>
      </w:r>
      <w:r>
        <w:t>Ancak dijital toplum bu varsayımı tersine çevir</w:t>
      </w:r>
      <w:r w:rsidR="007758BB">
        <w:t>ir</w:t>
      </w:r>
      <w:r>
        <w:t>. Görünürlük artık zorunlu olarak hakikat üretmez; aksine, performans, simülasyon, hızlanma ve parçalanma üretebil</w:t>
      </w:r>
      <w:r w:rsidR="007758BB">
        <w:t>mektedir</w:t>
      </w:r>
      <w:r w:rsidR="007758BB">
        <w:rPr>
          <w:rStyle w:val="DipnotBavurusu"/>
        </w:rPr>
        <w:footnoteReference w:id="17"/>
      </w:r>
      <w:r>
        <w:t>.</w:t>
      </w:r>
      <w:r w:rsidR="007758BB">
        <w:t xml:space="preserve"> </w:t>
      </w:r>
      <w:r w:rsidR="00471C33" w:rsidRPr="00471C33">
        <w:t>Bu çerçevede algoritmik toplumun en derin sorunu, yurttaşların kanaat oluşturduğu, itiraz ettiği ve yönünü belirlediği ortak epistemik zeminin parçalanabilir hâle gelmesidir. Burada söz konusu olan, birbiriyle yarışan gerçekler değil; önermelerin tartışılmasını mümkün kılan ortak zeminin sessizce ortadan kalktığı parçalanmış bir dünyadır.</w:t>
      </w:r>
    </w:p>
    <w:p w14:paraId="211478C5" w14:textId="554271D5" w:rsidR="00473874" w:rsidRDefault="00473874" w:rsidP="007D116E">
      <w:pPr>
        <w:spacing w:after="120"/>
        <w:ind w:firstLine="566"/>
        <w:jc w:val="both"/>
      </w:pPr>
      <w:r w:rsidRPr="005B1E65">
        <w:t>Dolayısıyla</w:t>
      </w:r>
      <w:r>
        <w:t>,</w:t>
      </w:r>
      <w:r w:rsidRPr="005B1E65">
        <w:t xml:space="preserve"> ilk sorun kavramsal</w:t>
      </w:r>
      <w:r>
        <w:t>dır ve bu nedenle sansürün çerçevesi genişletilmelidir. Klasik sansürün çoğu zaman görünür bir biçimi vardır. Bir kitap yasaklan</w:t>
      </w:r>
      <w:r w:rsidR="00471C33">
        <w:t>dığında</w:t>
      </w:r>
      <w:r>
        <w:t>, bir gazete toplatı</w:t>
      </w:r>
      <w:r w:rsidR="00471C33">
        <w:t xml:space="preserve">ldığında ya da </w:t>
      </w:r>
      <w:r>
        <w:t>bir sergi kapatıl</w:t>
      </w:r>
      <w:r w:rsidR="00471C33">
        <w:t xml:space="preserve">dığında </w:t>
      </w:r>
      <w:r w:rsidRPr="00471C33">
        <w:t xml:space="preserve">anayasa hukuku </w:t>
      </w:r>
      <w:r w:rsidR="00471C33">
        <w:t xml:space="preserve">teorisi </w:t>
      </w:r>
      <w:r w:rsidRPr="00471C33">
        <w:t>nasıl hareket edil</w:t>
      </w:r>
      <w:r w:rsidR="00471C33">
        <w:t>eceğini söyler</w:t>
      </w:r>
      <w:r w:rsidRPr="00471C33">
        <w:t>. Elbette ki söz konusu sansür biçimleri anayasal önemini koru</w:t>
      </w:r>
      <w:r w:rsidR="00471C33">
        <w:t>yor</w:t>
      </w:r>
      <w:r w:rsidRPr="00471C33">
        <w:t>. Ancak, algoritmik yönetişim bunlara bir katman daha ekler. Bir platform, siyasal bir iddiayı sessizce erişim sıralamasında aşağıya çekebilir. Otomatik moderasyon sistemi bir ifadeyi</w:t>
      </w:r>
      <w:r>
        <w:t xml:space="preserve"> yanlış sınıflandırabilir. Bir öneri sistemi, daha kârlı olduğu için kutuplaştırıcı/ayrıştırıcı içeriği sıralamada yükseltebilir. Bir içerik çevrimiçi olmasına rağmen kimse tarafından erişilmeyebilir, bir hesap öneri sisteminden dışlanabilir. Dolayısıyla, yeni algoritmik toplumda karar, her zaman yasaklama değil; çoğunlukla görünmezliktir.</w:t>
      </w:r>
    </w:p>
    <w:p w14:paraId="43B5CFF9" w14:textId="68287D85" w:rsidR="00473874" w:rsidRDefault="00473874" w:rsidP="007D116E">
      <w:pPr>
        <w:spacing w:after="120"/>
        <w:ind w:firstLine="566"/>
        <w:jc w:val="both"/>
      </w:pPr>
      <w:r>
        <w:t xml:space="preserve">Yapay zekâ ise bu anlam dönüşümünü </w:t>
      </w:r>
      <w:r w:rsidR="00471C33">
        <w:t xml:space="preserve">daha da </w:t>
      </w:r>
      <w:r>
        <w:t>yoğunlaştırmaktadır. Yapay zekâ</w:t>
      </w:r>
      <w:r w:rsidR="00F35D01">
        <w:t xml:space="preserve">, </w:t>
      </w:r>
      <w:r>
        <w:t>herhangi bir veriyi/bilgiyi</w:t>
      </w:r>
      <w:r w:rsidR="00F35D01">
        <w:t xml:space="preserve">, </w:t>
      </w:r>
      <w:r>
        <w:t>hiçbir insan bürokrasisinin erişemeyeceği hız ve ölçekte sınıflandırabilir, sıralayabilir, filtreleyebilir, geri itebilir, öngörebilir ve uygulayabilir. Bu anlamda, yalnızca içerik kaldırdığında değil</w:t>
      </w:r>
      <w:r w:rsidR="00471C33">
        <w:t>;</w:t>
      </w:r>
      <w:r>
        <w:t xml:space="preserve"> görünürlük alanını sessizce yeniden </w:t>
      </w:r>
      <w:r w:rsidR="00471C33">
        <w:t xml:space="preserve">düzenlediğinde </w:t>
      </w:r>
      <w:r>
        <w:t xml:space="preserve">de bir sansür </w:t>
      </w:r>
      <w:r w:rsidR="00471C33">
        <w:t xml:space="preserve">aracına </w:t>
      </w:r>
      <w:r>
        <w:t>dönüşebilir. Bu durumda sansür, bir emirden çok bir altyapıya benzemeye başlar. Platformların</w:t>
      </w:r>
      <w:r w:rsidR="00471C33">
        <w:t xml:space="preserve">, </w:t>
      </w:r>
      <w:r>
        <w:t>kamusal yaşamı</w:t>
      </w:r>
      <w:r w:rsidR="00471C33">
        <w:t xml:space="preserve"> </w:t>
      </w:r>
      <w:r>
        <w:t>biçimlendirmek için hakikatin ne olduğunu ilan etme</w:t>
      </w:r>
      <w:r w:rsidR="00471C33">
        <w:t xml:space="preserve">sine </w:t>
      </w:r>
      <w:r>
        <w:t>gerek yoktur; dikkatin ve dolaşımın örgütlenmesi yeterlidir. Kimsenin görmediği bir iddiaya anlamlı biçimde itiraz</w:t>
      </w:r>
      <w:r w:rsidR="00471C33">
        <w:t xml:space="preserve"> edilemeyecek</w:t>
      </w:r>
      <w:r>
        <w:t>; algoritmik olarak gömülmüş bir ses</w:t>
      </w:r>
      <w:r w:rsidR="00471C33">
        <w:t xml:space="preserve"> </w:t>
      </w:r>
      <w:r>
        <w:t>kamusal akıl yürütmeye katıla</w:t>
      </w:r>
      <w:r w:rsidR="00471C33">
        <w:t>mayacak; b</w:t>
      </w:r>
      <w:r>
        <w:t xml:space="preserve">ir makalenin ya da protesto videosunun ortadan kaybolması için </w:t>
      </w:r>
      <w:r w:rsidR="00471C33">
        <w:t xml:space="preserve">de </w:t>
      </w:r>
      <w:r>
        <w:t>kaldırılması gerekm</w:t>
      </w:r>
      <w:r w:rsidR="00471C33">
        <w:t xml:space="preserve">eyecektir. Hepsinin </w:t>
      </w:r>
      <w:r>
        <w:t xml:space="preserve">sessizce geri plana itilmesi yeterlidir. </w:t>
      </w:r>
    </w:p>
    <w:p w14:paraId="580A9242" w14:textId="5D9C9FC8" w:rsidR="00451727" w:rsidRDefault="00451727" w:rsidP="00471C33">
      <w:pPr>
        <w:spacing w:after="120"/>
        <w:ind w:firstLine="566"/>
        <w:jc w:val="both"/>
      </w:pPr>
      <w:r>
        <w:t xml:space="preserve">Bu süreçlerin </w:t>
      </w:r>
      <w:r w:rsidRPr="00471C33">
        <w:t>hiçbiri</w:t>
      </w:r>
      <w:r w:rsidR="00F35D01">
        <w:t>n</w:t>
      </w:r>
      <w:r w:rsidRPr="00471C33">
        <w:t>de devlete atfedilebilecek bir işlem ya da eylem bulunma</w:t>
      </w:r>
      <w:r w:rsidR="00471C33" w:rsidRPr="00471C33">
        <w:t xml:space="preserve">sa da </w:t>
      </w:r>
      <w:r w:rsidRPr="00471C33">
        <w:t>kamusal söylem üzerindeki etki anayasal ölçekte olacaktır.</w:t>
      </w:r>
      <w:r>
        <w:t xml:space="preserve"> İ</w:t>
      </w:r>
      <w:r w:rsidRPr="005B1E65">
        <w:t>lgili aktör</w:t>
      </w:r>
      <w:r w:rsidR="00471C33">
        <w:t>,</w:t>
      </w:r>
      <w:r w:rsidRPr="005B1E65">
        <w:t xml:space="preserve"> her zaman bir kişi ya da teşhis edilebilir bir karar verici değildir. Bazen aktörün kendisi sosyo-teknik bir sistemdir</w:t>
      </w:r>
      <w:r w:rsidR="00471C33">
        <w:t>. Bu b</w:t>
      </w:r>
      <w:r w:rsidRPr="005B1E65">
        <w:t xml:space="preserve">ir </w:t>
      </w:r>
      <w:r>
        <w:t xml:space="preserve">yazılım </w:t>
      </w:r>
      <w:r w:rsidRPr="005B1E65">
        <w:t>mimari</w:t>
      </w:r>
      <w:r>
        <w:t>si</w:t>
      </w:r>
      <w:r w:rsidRPr="005B1E65">
        <w:t>, sıralama düzeni ya da içerik denetimi zinciri</w:t>
      </w:r>
      <w:r>
        <w:t xml:space="preserve"> olabilir</w:t>
      </w:r>
      <w:r w:rsidRPr="005B1E65">
        <w:t>.</w:t>
      </w:r>
      <w:r>
        <w:t xml:space="preserve"> İşte bu nedenle</w:t>
      </w:r>
      <w:r w:rsidR="00471C33">
        <w:t xml:space="preserve">, </w:t>
      </w:r>
      <w:r>
        <w:t xml:space="preserve">sistem-eylemi kavramını merkeze almak </w:t>
      </w:r>
      <w:r w:rsidR="00471C33">
        <w:t>önemlidir. A</w:t>
      </w:r>
      <w:r>
        <w:t>rtık anayasa hukuku, yalnızca ilkeler ve kurallar yoluyla değil, altyapılar yoluyla işleyen iktidara da hitap etmeyi öğrenmek zorundadır</w:t>
      </w:r>
      <w:r w:rsidR="00471C33">
        <w:rPr>
          <w:rStyle w:val="DipnotBavurusu"/>
        </w:rPr>
        <w:footnoteReference w:id="18"/>
      </w:r>
      <w:r w:rsidR="00471C33">
        <w:t>.</w:t>
      </w:r>
    </w:p>
    <w:p w14:paraId="550E4BE5" w14:textId="6AE23B41" w:rsidR="00114A80" w:rsidRPr="00114A80" w:rsidRDefault="00114A80" w:rsidP="00A773D7">
      <w:pPr>
        <w:spacing w:after="120"/>
        <w:ind w:left="566"/>
        <w:jc w:val="both"/>
        <w:rPr>
          <w:b/>
          <w:bCs/>
        </w:rPr>
      </w:pPr>
      <w:r w:rsidRPr="00114A80">
        <w:rPr>
          <w:b/>
          <w:bCs/>
        </w:rPr>
        <w:lastRenderedPageBreak/>
        <w:t xml:space="preserve">III. </w:t>
      </w:r>
      <w:r w:rsidR="00A773D7" w:rsidRPr="00114A80">
        <w:rPr>
          <w:b/>
          <w:bCs/>
        </w:rPr>
        <w:t>DİJİTAL KAMUSAL ALAND</w:t>
      </w:r>
      <w:r w:rsidR="004D4A94">
        <w:rPr>
          <w:b/>
          <w:bCs/>
        </w:rPr>
        <w:t>A</w:t>
      </w:r>
      <w:r w:rsidR="00FC574D">
        <w:rPr>
          <w:b/>
          <w:bCs/>
        </w:rPr>
        <w:t xml:space="preserve"> </w:t>
      </w:r>
      <w:r w:rsidR="00A773D7" w:rsidRPr="00114A80">
        <w:rPr>
          <w:b/>
          <w:bCs/>
        </w:rPr>
        <w:t>SİYASAL KATILMA</w:t>
      </w:r>
      <w:r w:rsidR="00FC574D">
        <w:rPr>
          <w:b/>
          <w:bCs/>
        </w:rPr>
        <w:t xml:space="preserve"> VE İKİ BOYUTLU BİR USÛLÎ ANAYASACILIK ÖNERİSİ</w:t>
      </w:r>
    </w:p>
    <w:p w14:paraId="2AD5FDD6" w14:textId="7BE7D12D" w:rsidR="00C63337" w:rsidRDefault="00C63337" w:rsidP="00C63337">
      <w:pPr>
        <w:spacing w:after="120"/>
        <w:ind w:firstLine="566"/>
        <w:jc w:val="both"/>
      </w:pPr>
      <w:r>
        <w:t xml:space="preserve">Algoritmik toplumda siyasal katılma hakkının fiilî kullanım alanı büyük ölçüde dijital platformlara taşınmıştır. Kampanyalar sosyal medyada örgütlenebilmekte, protestolar çevrimiçi çağrılarla büyüyebilmekte, seçmenler bilgiye öneri sistemleri üzerinden erişmekte, siyasal tartışma çoğunlukla platform arayüzlerinde gerçekleşmektedir. </w:t>
      </w:r>
      <w:r w:rsidRPr="001A4F45">
        <w:t xml:space="preserve">Bu bağlamda, dijital kamusal alan, yalnızca iletişimin gerçekleştiği bir ortam değil; siyasal tartışmanın yürütüldüğü, toplumsal görünürlüğün sağlandığı ve kamusal </w:t>
      </w:r>
      <w:r>
        <w:t>söylemin</w:t>
      </w:r>
      <w:r w:rsidRPr="001A4F45">
        <w:t xml:space="preserve"> üretildiği yerdir</w:t>
      </w:r>
      <w:r>
        <w:rPr>
          <w:rStyle w:val="DipnotBavurusu"/>
        </w:rPr>
        <w:footnoteReference w:id="19"/>
      </w:r>
      <w:r w:rsidRPr="001A4F45">
        <w:t xml:space="preserve">. </w:t>
      </w:r>
      <w:r>
        <w:t xml:space="preserve">Bu nedenle dijital vatandaşlık, </w:t>
      </w:r>
      <w:r w:rsidRPr="001A4F45">
        <w:t>devlet tarafından verilen hukuki statüden ziyade, kamusal alana erişimi sağlayan altyapılara d</w:t>
      </w:r>
      <w:r w:rsidR="00F35D01">
        <w:t>â</w:t>
      </w:r>
      <w:r w:rsidRPr="001A4F45">
        <w:t xml:space="preserve">hil olabilme kapasitesi olarak anlaşılmalıdır. </w:t>
      </w:r>
      <w:r>
        <w:t>Bu da yalnızca e-devlet hizmetlerine erişimi değil; siyasal topluluğun iletişimsel yaşamına dijital altyapılar üzerinden katılabilme kapasitesine işaret etmektedir</w:t>
      </w:r>
      <w:r>
        <w:rPr>
          <w:rStyle w:val="DipnotBavurusu"/>
        </w:rPr>
        <w:footnoteReference w:id="20"/>
      </w:r>
      <w:r>
        <w:t xml:space="preserve">. Dijital </w:t>
      </w:r>
      <w:r w:rsidRPr="001A4F45">
        <w:t xml:space="preserve">kamusal alana katılım ve </w:t>
      </w:r>
      <w:r>
        <w:t xml:space="preserve">dijital vatandaş adı altında hukuki </w:t>
      </w:r>
      <w:r w:rsidRPr="001A4F45">
        <w:t>özne olarak tanınmanın fiilî koşulları da giderek devlet dışı altyapılar tarafından belirlenmektedir. Bu alanın oluşmasına aracılık eden her türlü platform ve teknik olanak, içerik moderasyonu, hesap doğrulama sistemleri</w:t>
      </w:r>
      <w:r>
        <w:t xml:space="preserve">; </w:t>
      </w:r>
      <w:r w:rsidRPr="001A4F45">
        <w:t>veri istismarı, algoritmik kürasyon ve manipülasyon gibi yollarla, bu alanın sınırlarını fiilen belirleyebilmekte; böylece kamusal katılımın koşullarını da tayin etmektedir. Dolayısıyla</w:t>
      </w:r>
      <w:r>
        <w:t>,</w:t>
      </w:r>
      <w:r w:rsidRPr="001A4F45">
        <w:t xml:space="preserve"> asıl </w:t>
      </w:r>
      <w:r>
        <w:t xml:space="preserve">anayasal </w:t>
      </w:r>
      <w:r w:rsidRPr="001A4F45">
        <w:t>sorun, vatandaşlığın hukuki tanımından ziyade, fiilen kullanılabildiği alanın kontrolünün büyük teknoloji şirketlerinin yönettiği altyapılara bağlı hâle gelmesidir.</w:t>
      </w:r>
    </w:p>
    <w:p w14:paraId="58898420" w14:textId="71A007FA" w:rsidR="004C0F39" w:rsidRDefault="002C0729" w:rsidP="007D116E">
      <w:pPr>
        <w:spacing w:after="120"/>
        <w:ind w:firstLine="566"/>
        <w:jc w:val="both"/>
      </w:pPr>
      <w:r>
        <w:t xml:space="preserve">Yapay zekâ </w:t>
      </w:r>
      <w:r w:rsidR="00471C33">
        <w:t xml:space="preserve">destekli ya da değil, </w:t>
      </w:r>
      <w:r>
        <w:t xml:space="preserve">herhangi bir dijital platform, doğası gereği ne demokratik ne de otoriterdir. Tasarım, teşvikler, uygulanan hukuk ve tanınan iktidar alanı yoluyla biri ya da diğeri hâline gelir. </w:t>
      </w:r>
      <w:r w:rsidRPr="002C0729">
        <w:t>Platformlar</w:t>
      </w:r>
      <w:r w:rsidR="00FC574D">
        <w:t xml:space="preserve"> da</w:t>
      </w:r>
      <w:r w:rsidRPr="002C0729">
        <w:t xml:space="preserve"> hizmet koşulları </w:t>
      </w:r>
      <w:r w:rsidRPr="00471C33">
        <w:rPr>
          <w:i/>
          <w:iCs/>
        </w:rPr>
        <w:t>(terms of service)</w:t>
      </w:r>
      <w:r>
        <w:t xml:space="preserve"> </w:t>
      </w:r>
      <w:r w:rsidRPr="002C0729">
        <w:t>aracılığıyla genel kurallar koy</w:t>
      </w:r>
      <w:r>
        <w:t>ar,</w:t>
      </w:r>
      <w:r w:rsidRPr="002C0729">
        <w:t xml:space="preserve"> bu kuralları otomatik içerik denetimi </w:t>
      </w:r>
      <w:r w:rsidRPr="00471C33">
        <w:rPr>
          <w:i/>
          <w:iCs/>
        </w:rPr>
        <w:t>(automated moderation)</w:t>
      </w:r>
      <w:r>
        <w:t xml:space="preserve"> </w:t>
      </w:r>
      <w:r w:rsidRPr="002C0729">
        <w:t>mekanizmaları yoluyla uygula</w:t>
      </w:r>
      <w:r>
        <w:t xml:space="preserve">r </w:t>
      </w:r>
      <w:r w:rsidRPr="002C0729">
        <w:t xml:space="preserve">ve kendi kararlarına karşı yapılan itirazları yine kendi </w:t>
      </w:r>
      <w:r>
        <w:t xml:space="preserve">içlerinde </w:t>
      </w:r>
      <w:r w:rsidRPr="002C0729">
        <w:t>incele</w:t>
      </w:r>
      <w:r>
        <w:t>rler</w:t>
      </w:r>
      <w:r w:rsidRPr="002C0729">
        <w:t>. Böylece aynı anda yasama-benzeri</w:t>
      </w:r>
      <w:r>
        <w:t xml:space="preserve"> (</w:t>
      </w:r>
      <w:r w:rsidRPr="008D343B">
        <w:t>quasi-</w:t>
      </w:r>
      <w:r w:rsidRPr="00317B2E">
        <w:rPr>
          <w:i/>
          <w:iCs/>
        </w:rPr>
        <w:t>normative</w:t>
      </w:r>
      <w:r>
        <w:t>)</w:t>
      </w:r>
      <w:r w:rsidRPr="002C0729">
        <w:t>, yürütme-benzeri</w:t>
      </w:r>
      <w:r>
        <w:t xml:space="preserve"> (</w:t>
      </w:r>
      <w:r w:rsidRPr="008D343B">
        <w:t>quasi-executive</w:t>
      </w:r>
      <w:r>
        <w:t>)</w:t>
      </w:r>
      <w:r w:rsidRPr="002C0729">
        <w:t xml:space="preserve"> ve </w:t>
      </w:r>
      <w:r w:rsidRPr="002C0729">
        <w:lastRenderedPageBreak/>
        <w:t>yargı-benzeri</w:t>
      </w:r>
      <w:r>
        <w:t xml:space="preserve"> (</w:t>
      </w:r>
      <w:r w:rsidRPr="008D343B">
        <w:t>quasi-judicial</w:t>
      </w:r>
      <w:r>
        <w:t>)</w:t>
      </w:r>
      <w:r w:rsidRPr="002C0729">
        <w:t xml:space="preserve"> işlevler üstlen</w:t>
      </w:r>
      <w:r>
        <w:t>ir</w:t>
      </w:r>
      <w:r w:rsidRPr="002C0729">
        <w:t>ler</w:t>
      </w:r>
      <w:r>
        <w:rPr>
          <w:rStyle w:val="DipnotBavurusu"/>
        </w:rPr>
        <w:footnoteReference w:id="21"/>
      </w:r>
      <w:r w:rsidRPr="002C0729">
        <w:t>. Ne var ki bu işlevleri, kamu hukukunun temel güvenceleri olan kanunilik, gerekçelendirme, şeffaflık ve bağımsız denetimden büyük ölçüde yoksun</w:t>
      </w:r>
      <w:r>
        <w:t>dur</w:t>
      </w:r>
      <w:r w:rsidR="004F6B28">
        <w:rPr>
          <w:rStyle w:val="DipnotBavurusu"/>
        </w:rPr>
        <w:footnoteReference w:id="22"/>
      </w:r>
      <w:r w:rsidRPr="002C0729">
        <w:t>.</w:t>
      </w:r>
      <w:r w:rsidR="004F6B28">
        <w:t xml:space="preserve"> Başka bir ifadeyle, </w:t>
      </w:r>
      <w:r w:rsidRPr="002C0729">
        <w:t>anayasal iktidara özgü etkiler üret</w:t>
      </w:r>
      <w:r w:rsidR="004F6B28">
        <w:t>ir</w:t>
      </w:r>
      <w:r w:rsidRPr="002C0729">
        <w:t>, fakat bu iktidarın hukuki ve kurumsal biçimlerine tâbi olmaktan kaçın</w:t>
      </w:r>
      <w:r w:rsidR="004F6B28">
        <w:t xml:space="preserve">ırlar. </w:t>
      </w:r>
      <w:r>
        <w:t xml:space="preserve">Bu durum bir anayasal paradoks </w:t>
      </w:r>
      <w:r w:rsidR="004F6B28">
        <w:t>yaratır</w:t>
      </w:r>
      <w:r>
        <w:t>. Anayasal demokrasiler hukuk devleti ilkesine dayanır</w:t>
      </w:r>
      <w:r w:rsidR="004F6B28">
        <w:t>. Siyasal iktidar</w:t>
      </w:r>
      <w:r>
        <w:t xml:space="preserve"> kendi kurallarıyla bağlı olmalı, kararlar gerekçelendirilmeli, etkilenen kişiler denetim yollarına erişebilmeli ve iktidar </w:t>
      </w:r>
      <w:r w:rsidR="004F6B28">
        <w:t>d</w:t>
      </w:r>
      <w:r w:rsidR="00471C33">
        <w:t xml:space="preserve">a </w:t>
      </w:r>
      <w:r w:rsidR="004F6B28">
        <w:t xml:space="preserve">denetime </w:t>
      </w:r>
      <w:r>
        <w:t>t</w:t>
      </w:r>
      <w:r w:rsidR="004F6B28">
        <w:t>â</w:t>
      </w:r>
      <w:r>
        <w:t xml:space="preserve">bi olmalıdır. Platformlar ise kamusal söylemi düzenlerken, dayattıkları normlarla </w:t>
      </w:r>
      <w:r w:rsidR="004F6B28">
        <w:t xml:space="preserve">yalnızca </w:t>
      </w:r>
      <w:r>
        <w:t>belirsiz biçimde bağlıdırlar. Kurallar</w:t>
      </w:r>
      <w:r w:rsidR="004F6B28">
        <w:t xml:space="preserve"> </w:t>
      </w:r>
      <w:r>
        <w:t>çoğunlukla tek taraflıdır; uygulamaları çoğunlukla otomatiktir</w:t>
      </w:r>
      <w:r w:rsidR="00471C33">
        <w:t>. A</w:t>
      </w:r>
      <w:r w:rsidR="004F6B28">
        <w:t xml:space="preserve">lınan </w:t>
      </w:r>
      <w:r>
        <w:t>kararlar</w:t>
      </w:r>
      <w:r w:rsidR="004F6B28">
        <w:t xml:space="preserve"> </w:t>
      </w:r>
      <w:r>
        <w:t>çoğunlukla</w:t>
      </w:r>
      <w:r w:rsidR="004F6B28">
        <w:t xml:space="preserve"> opak, </w:t>
      </w:r>
      <w:r>
        <w:t xml:space="preserve">başvuru yolları </w:t>
      </w:r>
      <w:r w:rsidR="004F6B28">
        <w:t xml:space="preserve">ise </w:t>
      </w:r>
      <w:r>
        <w:t>çoğunlukla zayıftır</w:t>
      </w:r>
      <w:r w:rsidR="00224B8B">
        <w:rPr>
          <w:rStyle w:val="DipnotBavurusu"/>
        </w:rPr>
        <w:footnoteReference w:id="23"/>
      </w:r>
      <w:r>
        <w:t xml:space="preserve">. </w:t>
      </w:r>
      <w:r w:rsidR="004F6B28">
        <w:t>Dolayısıyla,</w:t>
      </w:r>
      <w:r w:rsidR="004F6B28" w:rsidRPr="004F6B28">
        <w:t xml:space="preserve"> </w:t>
      </w:r>
      <w:r w:rsidR="004F6B28">
        <w:t>dijital k</w:t>
      </w:r>
      <w:r w:rsidR="004F6B28" w:rsidRPr="002C0729">
        <w:t>amusal alan üzerindeki etkileri</w:t>
      </w:r>
      <w:r>
        <w:t xml:space="preserve"> </w:t>
      </w:r>
      <w:r w:rsidR="004F6B28" w:rsidRPr="002C0729">
        <w:t>son derece güçlü olmasına rağmen</w:t>
      </w:r>
      <w:r>
        <w:t xml:space="preserve">, </w:t>
      </w:r>
      <w:r w:rsidR="004F6B28" w:rsidRPr="002C0729">
        <w:t>anayasal konumları ve tâbi oldukları güvenceler son derece zayıf</w:t>
      </w:r>
      <w:r w:rsidR="004F6B28">
        <w:t xml:space="preserve"> ve hatta kırılgandır. </w:t>
      </w:r>
      <w:r>
        <w:t>Temel açık, bu nedenle, usulîdir</w:t>
      </w:r>
      <w:r w:rsidR="004C0F39">
        <w:t>.</w:t>
      </w:r>
    </w:p>
    <w:p w14:paraId="122C2CDF" w14:textId="77777777" w:rsidR="00FC574D" w:rsidRDefault="00163202" w:rsidP="00A773D7">
      <w:pPr>
        <w:spacing w:after="120"/>
        <w:ind w:firstLine="566"/>
        <w:jc w:val="both"/>
      </w:pPr>
      <w:r w:rsidRPr="00163202">
        <w:t xml:space="preserve">Öyleyse kamu hukuku, yasaklama biçimini almaksızın işleyen bu görünmez iktidara nasıl yanıt </w:t>
      </w:r>
      <w:r w:rsidR="00313D57">
        <w:t>verebilir</w:t>
      </w:r>
      <w:r w:rsidRPr="00163202">
        <w:t>? Bu yeni iktidar biçimi karşısında hangi anayasal araçlar geliştirilebilir?</w:t>
      </w:r>
    </w:p>
    <w:p w14:paraId="26C87134" w14:textId="3BF6B381" w:rsidR="00062368" w:rsidRDefault="0086374F" w:rsidP="00A773D7">
      <w:pPr>
        <w:spacing w:after="120"/>
        <w:ind w:firstLine="566"/>
        <w:jc w:val="both"/>
      </w:pPr>
      <w:r>
        <w:t>B</w:t>
      </w:r>
      <w:r w:rsidR="00A773D7" w:rsidRPr="00A773D7">
        <w:t>u çalışma, platform iktidarını anayasal denetime açmak üzere, devletin ötesine uzanan</w:t>
      </w:r>
      <w:r w:rsidR="00A773D7">
        <w:t xml:space="preserve">; </w:t>
      </w:r>
      <w:r w:rsidR="00A773D7" w:rsidRPr="00A773D7">
        <w:t>ancak</w:t>
      </w:r>
      <w:r w:rsidR="00A773D7">
        <w:t>,</w:t>
      </w:r>
      <w:r w:rsidR="00A773D7" w:rsidRPr="00A773D7">
        <w:t xml:space="preserve"> devleti anayasal sorumluluk alanının dışına çıkarmayan iki boyutlu bir usulî anayasacılık modeli önermektedir. </w:t>
      </w:r>
      <w:r w:rsidR="00062368" w:rsidRPr="00062368">
        <w:t>Bu model, dijital kamusal alanın yalnızca bireysel platform kararları üzerinden değil, bu kararları sürekli olarak üreten mimariler ve algoritmik sistemler üzerinden de anayasal incelemeye açılması gerektiği düşüncesine dayanmaktadır. Böyle bir yaklaşım, dijital çağda temel hakların korunmasını yalnızca devlet müdahalelerinin sınırlandırılmasıyla değil, kamusal iletişimin koşullarını belirleyen özel iktidarların denetlenmesiyle de ilişkilendiren dijital anayasacılık tartışmalarının devamı niteliğindedir</w:t>
      </w:r>
      <w:r w:rsidR="00062368">
        <w:t>.</w:t>
      </w:r>
    </w:p>
    <w:p w14:paraId="0DB6357B" w14:textId="7AB32F5F" w:rsidR="00A571A0" w:rsidRPr="00957BB6" w:rsidRDefault="00062368" w:rsidP="00A571A0">
      <w:pPr>
        <w:spacing w:after="120"/>
        <w:ind w:firstLine="566"/>
        <w:jc w:val="both"/>
      </w:pPr>
      <w:r w:rsidRPr="00957BB6">
        <w:t>M</w:t>
      </w:r>
      <w:r w:rsidR="00A773D7" w:rsidRPr="00A773D7">
        <w:t>odelin ilk boyutu, hakların tasarım yoluyla korunmasıdır (</w:t>
      </w:r>
      <w:r w:rsidR="00A773D7" w:rsidRPr="00A773D7">
        <w:rPr>
          <w:i/>
          <w:iCs/>
        </w:rPr>
        <w:t>rights-by-design</w:t>
      </w:r>
      <w:r w:rsidR="00A773D7" w:rsidRPr="00A773D7">
        <w:t xml:space="preserve">). </w:t>
      </w:r>
      <w:r w:rsidR="00A571A0" w:rsidRPr="00957BB6">
        <w:t>Hakların etkili kullanım koşulları dijital mimari tarafından biçimlendiriliyorsa, temel hak güvencelerinin de bu mimarinin tasarımına en başta yerleştirilmesi gerekir. Bu yaklaşımın kuramsal hareket noktalarından biri, dijital mimarinin yalnızca iletişimin gerçekleştiği nötr bir ortam değil, kullanıcı davranışlarını ve eylem imkânlarını fiilen düzenleyen normatif bir yapı olduğu tespitidir. Kod, dijital ortamda neyin mümkün, görünür, erişilebilir veya fiilen engellenmiş olduğunu belirleyerek hukuka benzer düzenleyici etkiler üretmektedir</w:t>
      </w:r>
      <w:r w:rsidR="00A571A0" w:rsidRPr="00957BB6">
        <w:rPr>
          <w:rStyle w:val="DipnotBavurusu"/>
        </w:rPr>
        <w:footnoteReference w:id="24"/>
      </w:r>
      <w:r w:rsidR="00A571A0" w:rsidRPr="00957BB6">
        <w:t>.</w:t>
      </w:r>
    </w:p>
    <w:p w14:paraId="222E578D" w14:textId="4E5C508B" w:rsidR="00A571A0" w:rsidRPr="00A571A0" w:rsidRDefault="00A571A0" w:rsidP="00A571A0">
      <w:pPr>
        <w:spacing w:after="120"/>
        <w:ind w:firstLine="566"/>
        <w:jc w:val="both"/>
      </w:pPr>
      <w:r w:rsidRPr="00A571A0">
        <w:t xml:space="preserve">Bununla birlikte hakların tasarım yoluyla korunması, kodun hukukla özdeşleştirilmesi veya hukuk kurallarının doğrudan ve mekanik biçimde yazılım koduna tercüme edilmesi anlamına gelmez. Amaç, mimarinin düzenleyici gücünün anayasal değerler ve temel hak güvenceleriyle sınırlandırılmasıdır. Bu bakımdan, otomatik uyumu sağlamayı amaçlayan </w:t>
      </w:r>
      <w:r w:rsidRPr="00A571A0">
        <w:rPr>
          <w:i/>
          <w:iCs/>
        </w:rPr>
        <w:t xml:space="preserve">legal </w:t>
      </w:r>
      <w:r w:rsidRPr="00A571A0">
        <w:rPr>
          <w:i/>
          <w:iCs/>
        </w:rPr>
        <w:lastRenderedPageBreak/>
        <w:t>by design</w:t>
      </w:r>
      <w:r w:rsidRPr="00A571A0">
        <w:t xml:space="preserve"> ile temel hakların teknolojik ortam içinde etkili biçimde korunmasını hedefleyen </w:t>
      </w:r>
      <w:r w:rsidRPr="00A571A0">
        <w:rPr>
          <w:i/>
          <w:iCs/>
        </w:rPr>
        <w:t>legal protection by design</w:t>
      </w:r>
      <w:r w:rsidRPr="00A571A0">
        <w:t xml:space="preserve"> birbirinden ayrılmalıdır. İkinci yaklaşım, hukuki korumanın teknolojik tasarım tarafından baştan dışlanmamasını; tasarımın</w:t>
      </w:r>
      <w:r w:rsidRPr="00957BB6">
        <w:t xml:space="preserve"> demokratik katılım</w:t>
      </w:r>
      <w:r w:rsidR="00957BB6" w:rsidRPr="00957BB6">
        <w:t>a</w:t>
      </w:r>
      <w:r w:rsidRPr="00A571A0">
        <w:t>, yargısal denetime ve itiraz edilebilirliğe açık kalmasını gerektirir</w:t>
      </w:r>
      <w:r w:rsidR="00957BB6" w:rsidRPr="00957BB6">
        <w:rPr>
          <w:rStyle w:val="DipnotBavurusu"/>
        </w:rPr>
        <w:footnoteReference w:id="25"/>
      </w:r>
      <w:r w:rsidRPr="00A571A0">
        <w:t>.</w:t>
      </w:r>
    </w:p>
    <w:p w14:paraId="66E1789D" w14:textId="57BA9F63" w:rsidR="00A571A0" w:rsidRPr="00A571A0" w:rsidRDefault="00957BB6" w:rsidP="00A571A0">
      <w:pPr>
        <w:spacing w:after="120"/>
        <w:ind w:firstLine="566"/>
        <w:jc w:val="both"/>
      </w:pPr>
      <w:r w:rsidRPr="00957BB6">
        <w:t>Böylece</w:t>
      </w:r>
      <w:r w:rsidR="00A571A0" w:rsidRPr="00A571A0">
        <w:t xml:space="preserve"> hukuk, opak bir sistem görünürlüğü ve kamusal dolaşımı sistem ölçeğinde biçimlendirdikten sonra devreye giren salt bir </w:t>
      </w:r>
      <w:r w:rsidR="00A571A0" w:rsidRPr="00A571A0">
        <w:rPr>
          <w:i/>
          <w:iCs/>
        </w:rPr>
        <w:t>ex post</w:t>
      </w:r>
      <w:r w:rsidR="00A571A0" w:rsidRPr="00A571A0">
        <w:t xml:space="preserve"> telafi mekanizması olarak kalamaz. İfade özgürlüğü, eşitlik, mahremiyet, insan onuru, kültürel katılım ve demokratik çoğulculuk, yalnızca ihlal sonrasında başvurulacak yargısal ölçütler değil</w:t>
      </w:r>
      <w:r w:rsidRPr="00957BB6">
        <w:t>;</w:t>
      </w:r>
      <w:r w:rsidR="00A571A0" w:rsidRPr="00A571A0">
        <w:t xml:space="preserve"> platform altyapılarının tasarımını ve işleyişini sınırlayan normatif gereklilikler hâline gel</w:t>
      </w:r>
      <w:r w:rsidRPr="0096323D">
        <w:t>ir</w:t>
      </w:r>
      <w:r w:rsidR="00A571A0" w:rsidRPr="00A571A0">
        <w:t>. Algoritmik toplumda hak ihlallerinin hızlı, yaygın, görünmez ve kimi zaman bireysel bir karara indirgenemeyecek biçimde ortaya çıkması, temel hakların teknik altyapıya başlangıç aşamasından itibaren dâhil edilmesini yapısal bir zorunluluk hâline getirmektedir</w:t>
      </w:r>
      <w:r w:rsidRPr="0096323D">
        <w:rPr>
          <w:rStyle w:val="DipnotBavurusu"/>
        </w:rPr>
        <w:footnoteReference w:id="26"/>
      </w:r>
      <w:r w:rsidRPr="0096323D">
        <w:t>.</w:t>
      </w:r>
    </w:p>
    <w:p w14:paraId="4AB49784" w14:textId="48407E48" w:rsidR="00A773D7" w:rsidRDefault="00A571A0" w:rsidP="0096323D">
      <w:pPr>
        <w:spacing w:after="120"/>
        <w:ind w:firstLine="566"/>
        <w:jc w:val="both"/>
      </w:pPr>
      <w:r w:rsidRPr="00A571A0">
        <w:t>Bu</w:t>
      </w:r>
      <w:r w:rsidR="00957BB6" w:rsidRPr="0096323D">
        <w:t xml:space="preserve"> tespit</w:t>
      </w:r>
      <w:r w:rsidRPr="00A571A0">
        <w:t xml:space="preserve">, anayasa hukukçularının kod yazması gerektiği anlamına </w:t>
      </w:r>
      <w:r w:rsidR="00FC574D">
        <w:t xml:space="preserve">da </w:t>
      </w:r>
      <w:r w:rsidRPr="00A571A0">
        <w:t>gelm</w:t>
      </w:r>
      <w:r w:rsidR="00957BB6" w:rsidRPr="0096323D">
        <w:t>ez</w:t>
      </w:r>
      <w:r w:rsidRPr="00A571A0">
        <w:t>. Anayasal değerlerin, sistem tasarımını değerlendirmeye yarayan bağlayıcı ölçütlere dönüştürülmes</w:t>
      </w:r>
      <w:r w:rsidR="00957BB6" w:rsidRPr="0096323D">
        <w:t>ini ifade eder</w:t>
      </w:r>
      <w:r w:rsidR="0096323D" w:rsidRPr="0096323D">
        <w:rPr>
          <w:rStyle w:val="DipnotBavurusu"/>
        </w:rPr>
        <w:footnoteReference w:id="27"/>
      </w:r>
      <w:r w:rsidRPr="00A571A0">
        <w:t>. Bu çerçevede şu sorular yöneltilmelidir: Etkilenen kullanıcılar otomatik sonuçlara etkili biçimde itiraz edebilmekte midir? Sınıflandırma ve profilleme sistemleri ayrımcı sonuçlara karşı yeterli güvenceler içermekte midir? Anlamlı bir insan gözetimi ve düzeltme imkânı mevcut mudur? Tavsiye sistemleri yalnızca kullanıcı etkileşimini ve platform gelirini azamileştirmek üzere mi çalışmakta, yoksa çoğulculuğu, eşit muameleyi ve kamusal tartışmanın bütünlüğünü de gözetmekte midir?</w:t>
      </w:r>
    </w:p>
    <w:p w14:paraId="66BEBA9D" w14:textId="1E0F84CA" w:rsidR="00966606" w:rsidRPr="00966606" w:rsidRDefault="00966606" w:rsidP="00966606">
      <w:pPr>
        <w:spacing w:after="120"/>
        <w:ind w:firstLine="566"/>
        <w:jc w:val="both"/>
      </w:pPr>
      <w:r>
        <w:t>Son olarak, hakların tasarım yoluy</w:t>
      </w:r>
      <w:r w:rsidR="00AE0B75">
        <w:t>l</w:t>
      </w:r>
      <w:r>
        <w:t xml:space="preserve">a korunması </w:t>
      </w:r>
      <w:r w:rsidRPr="00966606">
        <w:t>yaklaşımına her şeye kadir bir çözüm işlevi yüklenmemelidir. Hukukun üstünlüğü ve temel haklar, teknolojik sistemlere mekanik ve eksiksiz biçimde “kodlanabilecek” sabit girdiler değildir. Anayasal değerlerin teknik tasarıma aktarılması; bu değerlerin yorumlanmasını, aralarında önceliklendirme yapılmasını ve çatışan haklar bakımından belirli tercihlerin benimsenmesini gerektirir. Dolayısıyla tasarım, yalnızca teknik bir uygulama aşaması değil, aynı zamanda normatif ve siyasal bir karar alanıdır.</w:t>
      </w:r>
      <w:r>
        <w:t xml:space="preserve"> </w:t>
      </w:r>
      <w:r w:rsidRPr="00966606">
        <w:t xml:space="preserve">Bu nedenle </w:t>
      </w:r>
      <w:r w:rsidRPr="00966606">
        <w:rPr>
          <w:i/>
          <w:iCs/>
        </w:rPr>
        <w:t>rights-by-design</w:t>
      </w:r>
      <w:r w:rsidR="00AE0B75">
        <w:rPr>
          <w:i/>
          <w:iCs/>
        </w:rPr>
        <w:t xml:space="preserve"> </w:t>
      </w:r>
      <w:r w:rsidR="00AE0B75">
        <w:t>yaklaşımının</w:t>
      </w:r>
      <w:r w:rsidRPr="00966606">
        <w:t xml:space="preserve"> </w:t>
      </w:r>
      <w:r w:rsidR="00AE0B75">
        <w:t>t</w:t>
      </w:r>
      <w:r w:rsidRPr="00966606">
        <w:t xml:space="preserve">eknolojik sistemlerin önceden belirlenmiş hukuk devleti değerlerini kendiliğinden ve tarafsız biçimde hayata geçireceği varsayımı, tekno-çözümcü bir yanılsamaya </w:t>
      </w:r>
      <w:r w:rsidR="00AE0B75">
        <w:t xml:space="preserve">da </w:t>
      </w:r>
      <w:r w:rsidRPr="00966606">
        <w:t xml:space="preserve">dönüşebilir. </w:t>
      </w:r>
      <w:r w:rsidR="00AE0B75">
        <w:t>Oysaki h</w:t>
      </w:r>
      <w:r w:rsidRPr="00966606">
        <w:t>ukuk devleti ilkelerinin teknik mimariye yerleştirilmesi, ancak hangi değerlerin nasıl yorumlandığının görünür olduğu, tasarım tercihlerinin kamusal olarak tartışılabildiği, etkilenen kişilerin bu tercihlere itiraz edebildiği ve sistemin bağımsız denetime açık bulunduğu insan odaklı bir kurumsal çerçeve içinde anlam kazanır. Başka bir ifadeyle tasarım, kamusal ve yargısal denetimin alternatifi değil, onun konusu olmalıdır</w:t>
      </w:r>
      <w:r>
        <w:rPr>
          <w:rStyle w:val="DipnotBavurusu"/>
        </w:rPr>
        <w:footnoteReference w:id="28"/>
      </w:r>
      <w:r w:rsidRPr="00966606">
        <w:t>.</w:t>
      </w:r>
    </w:p>
    <w:p w14:paraId="7169CFB3" w14:textId="710E3752" w:rsidR="000940FD" w:rsidRPr="000940FD" w:rsidRDefault="00A773D7" w:rsidP="000940FD">
      <w:pPr>
        <w:spacing w:after="120"/>
        <w:ind w:firstLine="566"/>
        <w:jc w:val="both"/>
      </w:pPr>
      <w:r w:rsidRPr="00A773D7">
        <w:lastRenderedPageBreak/>
        <w:t>Modelin ikinci boyutunu dijital usulî güvenceler (</w:t>
      </w:r>
      <w:r w:rsidRPr="00A773D7">
        <w:rPr>
          <w:i/>
          <w:iCs/>
        </w:rPr>
        <w:t>digital due process</w:t>
      </w:r>
      <w:r w:rsidRPr="00A773D7">
        <w:t>) oluşturmaktadır.</w:t>
      </w:r>
      <w:r w:rsidR="000940FD">
        <w:t xml:space="preserve"> </w:t>
      </w:r>
      <w:r w:rsidR="000940FD" w:rsidRPr="000940FD">
        <w:t>Platformlar; bir içeriği kaldırma, erişimini veya sıralamadaki konumunu düşürme</w:t>
      </w:r>
      <w:r w:rsidR="00726A7A">
        <w:t xml:space="preserve"> </w:t>
      </w:r>
      <w:r w:rsidR="00726A7A" w:rsidRPr="00726A7A">
        <w:rPr>
          <w:i/>
          <w:iCs/>
        </w:rPr>
        <w:t>(shadowbanning</w:t>
      </w:r>
      <w:r w:rsidR="000940FD" w:rsidRPr="000940FD">
        <w:rPr>
          <w:i/>
          <w:iCs/>
        </w:rPr>
        <w:t>,</w:t>
      </w:r>
      <w:r w:rsidR="00726A7A" w:rsidRPr="00726A7A">
        <w:rPr>
          <w:i/>
          <w:iCs/>
        </w:rPr>
        <w:t xml:space="preserve"> downranking)</w:t>
      </w:r>
      <w:r w:rsidR="00726A7A">
        <w:t xml:space="preserve">, bir hesabın </w:t>
      </w:r>
      <w:r w:rsidR="00726A7A" w:rsidRPr="00726A7A">
        <w:t>para kazanma özelliklerini</w:t>
      </w:r>
      <w:r w:rsidR="00726A7A">
        <w:t xml:space="preserve"> kapatma </w:t>
      </w:r>
      <w:r w:rsidR="00726A7A" w:rsidRPr="00726A7A">
        <w:rPr>
          <w:i/>
          <w:iCs/>
        </w:rPr>
        <w:t>(demonetization)</w:t>
      </w:r>
      <w:r w:rsidR="000940FD" w:rsidRPr="000940FD">
        <w:t xml:space="preserve">, askıya alma ya da içeriği fiilen görünmez kılma gibi kullanıcıların ifade ve katılım imkânlarını etkileyen kararları, yeterli usulî güvenceler olmaksızın alamamalıdır. </w:t>
      </w:r>
      <w:r w:rsidR="00726A7A">
        <w:t>M</w:t>
      </w:r>
      <w:r w:rsidR="000940FD" w:rsidRPr="000940FD">
        <w:t xml:space="preserve">üdahaleden etkilenen kullanıcıya zamanında bildirimde bulunulmalı; kararın dayandığı somut ve özgül gerekçeler açıklanmalı; otomatik karar verme veya içerik denetimi araçlarından yararlanılıp yararlanılmadığı belirtilmelidir. </w:t>
      </w:r>
      <w:r w:rsidR="00726A7A">
        <w:t>A</w:t>
      </w:r>
      <w:r w:rsidR="000940FD" w:rsidRPr="000940FD">
        <w:t xml:space="preserve">yrıca </w:t>
      </w:r>
      <w:r w:rsidR="00726A7A">
        <w:t xml:space="preserve">kullanıcıya </w:t>
      </w:r>
      <w:r w:rsidR="000940FD" w:rsidRPr="000940FD">
        <w:t>etkili ve erişilebilir bir şikâyet mekanizması, kararın yalnızca biçimsel olmayan anlamlı bir insan incelemesine tâbi tutulması</w:t>
      </w:r>
      <w:r w:rsidR="00726A7A">
        <w:t xml:space="preserve"> </w:t>
      </w:r>
      <w:r w:rsidR="00726A7A" w:rsidRPr="00A773D7">
        <w:rPr>
          <w:i/>
          <w:iCs/>
        </w:rPr>
        <w:t>(human-in-the-loop)</w:t>
      </w:r>
      <w:r w:rsidR="00726A7A">
        <w:t xml:space="preserve"> </w:t>
      </w:r>
      <w:r w:rsidR="000940FD" w:rsidRPr="000940FD">
        <w:t>ve ağır ya da yapısal sonuçlar doğuran müdahaleler bakımından platform içi denetimin ötesine geçen bağımsız inceleme yolları sağlanmalıdır.</w:t>
      </w:r>
    </w:p>
    <w:p w14:paraId="0351ECD5" w14:textId="019CA62F" w:rsidR="000940FD" w:rsidRPr="000940FD" w:rsidRDefault="000940FD" w:rsidP="000940FD">
      <w:pPr>
        <w:spacing w:after="120"/>
        <w:ind w:firstLine="566"/>
        <w:jc w:val="both"/>
      </w:pPr>
      <w:r w:rsidRPr="000940FD">
        <w:t xml:space="preserve">Bu yaklaşım, platform kararlarının yalnızca görünür veya şeffaf hâle getirilmesini değil; anlaşılabilir, gerekçelendirilebilir, itiraz edilebilir ve gerektiğinde düzeltilebilir kılınmasını amaçlamaktadır. Kullanıcının </w:t>
      </w:r>
      <w:r w:rsidRPr="000940FD">
        <w:rPr>
          <w:i/>
          <w:iCs/>
        </w:rPr>
        <w:t>“Bu içerik neden görünmüyor?”</w:t>
      </w:r>
      <w:r w:rsidRPr="000940FD">
        <w:t xml:space="preserve"> sorusuna etkili bir yanıt alabilmesi, hukuk devleti ilkesinin algoritmik kamusal alandaki asgari gereğidir. Dolayısıyla söz konusu güvenceler salt teknik veya yönetsel önlemler olarak görülemez. Bunlar, kanunilik, gerekçelendirme, savunma ve başvuru hakkı, bağımsız denetim ve keyfîliğin önlenmesi gibi hukuk devleti ilkelerinin </w:t>
      </w:r>
      <w:r w:rsidR="00726A7A">
        <w:t>platform</w:t>
      </w:r>
      <w:r w:rsidRPr="000940FD">
        <w:t xml:space="preserve"> yönetişim</w:t>
      </w:r>
      <w:r w:rsidR="00726A7A">
        <w:t xml:space="preserve">i </w:t>
      </w:r>
      <w:r w:rsidRPr="000940FD">
        <w:t>koşullarına tercüme edilmiş biçimleridir</w:t>
      </w:r>
      <w:r w:rsidR="00726A7A">
        <w:rPr>
          <w:rStyle w:val="DipnotBavurusu"/>
        </w:rPr>
        <w:footnoteReference w:id="29"/>
      </w:r>
      <w:r w:rsidR="00726A7A">
        <w:t>.</w:t>
      </w:r>
    </w:p>
    <w:p w14:paraId="13B267F3" w14:textId="7D18D8E1" w:rsidR="00966606" w:rsidRPr="00966606" w:rsidRDefault="00A773D7" w:rsidP="00966606">
      <w:pPr>
        <w:spacing w:after="120"/>
        <w:ind w:firstLine="566"/>
        <w:jc w:val="both"/>
      </w:pPr>
      <w:r w:rsidRPr="00A773D7">
        <w:t>Bununla birlikte, önerilen yaklaşım yeni bir düzenleyici aracın kabul edilmesinden veya mevcut düzenlemelere birkaç usul güvencesi</w:t>
      </w:r>
      <w:r w:rsidR="0023682C">
        <w:t>nin</w:t>
      </w:r>
      <w:r w:rsidRPr="00A773D7">
        <w:t xml:space="preserve"> eklenmesinden ibaret değildir. Düzenleyici araçların çoğalması, tek başına temel hakların etkili biçimde korunduğunu göstermez</w:t>
      </w:r>
      <w:r w:rsidR="0023682C">
        <w:rPr>
          <w:rStyle w:val="DipnotBavurusu"/>
        </w:rPr>
        <w:footnoteReference w:id="30"/>
      </w:r>
      <w:r w:rsidRPr="00A773D7">
        <w:t xml:space="preserve">. Bir </w:t>
      </w:r>
      <w:r w:rsidRPr="00A773D7">
        <w:lastRenderedPageBreak/>
        <w:t>platform kullanıcılara bildirim, gerekçe ve itiraz imkânı sağladığı hâlde, platformun genel mimarisi kamusal alanı parçalamaya, belirli görüşleri sistematik olarak görünmez</w:t>
      </w:r>
      <w:r w:rsidR="0023682C">
        <w:t xml:space="preserve"> kılmaya </w:t>
      </w:r>
      <w:r w:rsidRPr="00A773D7">
        <w:t>veya eşitsiz muamele üretmeye devam ediyorsa, yalnızca usullerin varlığından hareketle yeterli bir hak koruması</w:t>
      </w:r>
      <w:r w:rsidR="00C01CBD">
        <w:t>ndan söz edilemez</w:t>
      </w:r>
      <w:r w:rsidRPr="00A773D7">
        <w:t xml:space="preserve">. </w:t>
      </w:r>
      <w:r w:rsidR="00C01CBD" w:rsidRPr="00C01CBD">
        <w:t>Usulî güvencelerin anayasal değeri, algoritmik iktidarın etkili biçimde sorgulanmasına ve sınırlandırılmasına imkân verip vermediklerine göre belirlenmelidir. Aksi hâlde usul, demokratik itirazın koşulu olmaktan çıkarak iktidarın meşrulaştırılmasına hizmet eden içi boş bir ritüele dönüşebilir. Bu risk, öğretide “usulî fetişizm” eleştirisi üzerinden özellikle vurgulanmaktadır</w:t>
      </w:r>
      <w:r w:rsidR="0023682C">
        <w:rPr>
          <w:rStyle w:val="DipnotBavurusu"/>
        </w:rPr>
        <w:footnoteReference w:id="31"/>
      </w:r>
      <w:r w:rsidRPr="00A773D7">
        <w:t>.</w:t>
      </w:r>
      <w:r w:rsidR="00966606">
        <w:t xml:space="preserve"> Buna göre, b</w:t>
      </w:r>
      <w:r w:rsidR="00966606" w:rsidRPr="00966606">
        <w:t xml:space="preserve">ir platform bütün kararları için bildirimde bulunuyor, standart gerekçeler sunuyor ve biçimsel bir itiraz yolu sağlıyor olabilir. </w:t>
      </w:r>
      <w:r w:rsidR="00966606">
        <w:t>Ancak, platform</w:t>
      </w:r>
      <w:r w:rsidR="00966606" w:rsidRPr="00966606">
        <w:t xml:space="preserve"> mimarisi belirli grupları sistematik olarak dezavantajlı kılıyor, kamusal alanı parçalıyor veya çoğulculuğu zedeliyorsa, yalnızca usulî uyumdan hareketle etkili bir temel hak korumasından söz edilem</w:t>
      </w:r>
      <w:r w:rsidR="00966606">
        <w:t xml:space="preserve">eyecektir. </w:t>
      </w:r>
      <w:r w:rsidR="00966606" w:rsidRPr="00966606">
        <w:t xml:space="preserve">Dolayısıyla dijital </w:t>
      </w:r>
      <w:r w:rsidR="00966606" w:rsidRPr="00966606">
        <w:rPr>
          <w:i/>
          <w:iCs/>
        </w:rPr>
        <w:t>due process</w:t>
      </w:r>
      <w:r w:rsidR="00966606" w:rsidRPr="00966606">
        <w:t xml:space="preserve">, yalnızca iktidarın hangi usullerle kullanıldığına değil, belirli iktidar biçimlerinin ve yapısal sonuçların anayasal olarak kabul edilebilir olup olmadığına da yönelmelidir. Burada gerekli olan, yalnızca prosedürlere ilişkin değil, iktidarın yoğunlaşmasına ve maddi sınırlarına ilişkin bir </w:t>
      </w:r>
      <w:r w:rsidR="00966606" w:rsidRPr="00966606">
        <w:rPr>
          <w:i/>
          <w:iCs/>
        </w:rPr>
        <w:t>due process</w:t>
      </w:r>
      <w:r w:rsidR="00966606" w:rsidRPr="00966606">
        <w:t xml:space="preserve"> anlayışıdır.</w:t>
      </w:r>
    </w:p>
    <w:p w14:paraId="3E4A9DA9" w14:textId="3D45200E" w:rsidR="00966606" w:rsidRPr="00966606" w:rsidRDefault="00966606" w:rsidP="00966606">
      <w:pPr>
        <w:spacing w:after="120"/>
        <w:ind w:firstLine="566"/>
        <w:jc w:val="both"/>
      </w:pPr>
      <w:r w:rsidRPr="00966606">
        <w:t>Bu nedenle usulî anayasacılık, salt şeffaflık, gerekçelendirme ve itiraz mekanizmalarına indirgenmemelidir. Bu güvenceler; ayrımcılık yasağı, insan onuru, ifade özgürlüğü, çoğulculuk ve eşit siyasal katılım gibi maddi anayasal ölçütlerle tamamlanmalıdır. Aksi hâlde şirketlerin kendi iç yönetişim belgelerini, etik ilkelerini ve denetim süreçlerini oluşturması, gerçek bir hak koruması sağlamaktan çok özel iktidarın kendi meşruiyet koşullarını yine kendisinin belirlemesine hizmet edebilir. Usulün anayasal değeri, kurumsal bir prosedürün bulunmasından değil, iktidarı maddi olarak sınırlama ve dönüştürme kapasitesinden doğar</w:t>
      </w:r>
      <w:r>
        <w:rPr>
          <w:rStyle w:val="DipnotBavurusu"/>
        </w:rPr>
        <w:footnoteReference w:id="32"/>
      </w:r>
      <w:r w:rsidRPr="00966606">
        <w:t>.</w:t>
      </w:r>
    </w:p>
    <w:p w14:paraId="0A510803" w14:textId="77777777" w:rsidR="00C01CBD" w:rsidRDefault="00A773D7" w:rsidP="00A773D7">
      <w:pPr>
        <w:spacing w:after="120"/>
        <w:ind w:firstLine="566"/>
        <w:jc w:val="both"/>
      </w:pPr>
      <w:r w:rsidRPr="00A773D7">
        <w:t xml:space="preserve">Bu nedenle önerilen </w:t>
      </w:r>
      <w:r w:rsidR="0023682C">
        <w:t>ölçütler, ayrı ayrı</w:t>
      </w:r>
      <w:r w:rsidRPr="00A773D7">
        <w:t xml:space="preserve"> ancak birbirini tamamlaya</w:t>
      </w:r>
      <w:r w:rsidR="0023682C">
        <w:t xml:space="preserve">cak şekilde </w:t>
      </w:r>
      <w:r w:rsidRPr="00A773D7">
        <w:t>işletilmelidir. İlk</w:t>
      </w:r>
      <w:r w:rsidR="0023682C">
        <w:t xml:space="preserve"> aşama</w:t>
      </w:r>
      <w:r w:rsidRPr="00A773D7">
        <w:t>, kaldırma, erişim</w:t>
      </w:r>
      <w:r w:rsidR="0023682C">
        <w:t xml:space="preserve"> engeli</w:t>
      </w:r>
      <w:r w:rsidRPr="00A773D7">
        <w:t xml:space="preserve">, hesap askıya alma veya görünmez kılma gibi bireysel platform kararlarının adil usullere tâbi tutulmasını gerektirir. İkinci </w:t>
      </w:r>
      <w:r w:rsidR="0023682C">
        <w:t xml:space="preserve">aşama </w:t>
      </w:r>
      <w:r w:rsidRPr="00A773D7">
        <w:t xml:space="preserve">ise bu kararları üreten </w:t>
      </w:r>
      <w:r w:rsidR="0023682C">
        <w:t xml:space="preserve">yazılım </w:t>
      </w:r>
      <w:r w:rsidRPr="00A773D7">
        <w:t>mimari</w:t>
      </w:r>
      <w:r w:rsidR="0023682C">
        <w:t xml:space="preserve">sinin </w:t>
      </w:r>
      <w:r w:rsidRPr="00A773D7">
        <w:t>kendisinin incelemeye açılmasına ilişkindir. Bu düzeyde sorulması gereken soru, yalnızca belirli bir kararın doğru veya gerekçeli olup olmadığı değil; tavsiye, sıralama, sınıflandırma ve moderasyon sistemlerinin bir bütün olarak çoğulculuğu, eşit muameleyi ve kamusal tartışmanın koşullarını tehdit edip etmediğidir. Böylece itiraz edilebilirlik (</w:t>
      </w:r>
      <w:r w:rsidRPr="00A773D7">
        <w:rPr>
          <w:i/>
          <w:iCs/>
        </w:rPr>
        <w:t>contestability</w:t>
      </w:r>
      <w:r w:rsidRPr="00A773D7">
        <w:t>), yalnızca bireysel kararın yeniden incelenmesi değil, kararları sürekli olarak üreten sosyo-teknik düzenin sorgulanabilir hâle getirilmesi</w:t>
      </w:r>
      <w:r w:rsidR="00C01CBD">
        <w:t>ni ifade eder</w:t>
      </w:r>
      <w:r w:rsidR="0023682C">
        <w:rPr>
          <w:rStyle w:val="DipnotBavurusu"/>
        </w:rPr>
        <w:footnoteReference w:id="33"/>
      </w:r>
      <w:r w:rsidRPr="00A773D7">
        <w:t>.</w:t>
      </w:r>
      <w:r w:rsidR="00FA0582">
        <w:t xml:space="preserve"> </w:t>
      </w:r>
      <w:r w:rsidR="00C01CBD" w:rsidRPr="00C01CBD">
        <w:t>Bu noktada “sistem-eylemi” kavramının işlevi açıklığa kavuşturulmalıdır.</w:t>
      </w:r>
      <w:r w:rsidR="00C01CBD">
        <w:t xml:space="preserve"> </w:t>
      </w:r>
      <w:r w:rsidR="00FA0582" w:rsidRPr="00FA0582">
        <w:t xml:space="preserve">Bu </w:t>
      </w:r>
      <w:r w:rsidR="00C01CBD">
        <w:t xml:space="preserve">da </w:t>
      </w:r>
      <w:r w:rsidR="00FA0582" w:rsidRPr="00FA0582">
        <w:t xml:space="preserve">ABD hukuku kaynaklı devlet eylemi </w:t>
      </w:r>
      <w:r w:rsidR="00FA0582" w:rsidRPr="00FA0582">
        <w:rPr>
          <w:i/>
          <w:iCs/>
        </w:rPr>
        <w:t>(state action)</w:t>
      </w:r>
      <w:r w:rsidR="00FA0582" w:rsidRPr="00FA0582">
        <w:t xml:space="preserve"> </w:t>
      </w:r>
      <w:r w:rsidR="00FA0582">
        <w:t>öğretisiyle</w:t>
      </w:r>
      <w:r w:rsidR="00FA0582" w:rsidRPr="00FA0582">
        <w:t xml:space="preserve"> karşılaştırma yoluyla çizilebilir.</w:t>
      </w:r>
    </w:p>
    <w:p w14:paraId="09614E4C" w14:textId="1C2F39A4" w:rsidR="00FB4308" w:rsidRDefault="00C01CBD" w:rsidP="00A773D7">
      <w:pPr>
        <w:spacing w:after="120"/>
        <w:ind w:firstLine="566"/>
        <w:jc w:val="both"/>
      </w:pPr>
      <w:r>
        <w:t>Devlet eylemi</w:t>
      </w:r>
      <w:r w:rsidR="00FA0582" w:rsidRPr="00FA0582">
        <w:t xml:space="preserve"> </w:t>
      </w:r>
      <w:r w:rsidR="00FA0582">
        <w:t>öğreti</w:t>
      </w:r>
      <w:r>
        <w:t>si</w:t>
      </w:r>
      <w:r w:rsidR="00FA0582" w:rsidRPr="00FA0582">
        <w:t xml:space="preserve">, anayasal hakların uygulanabilirliğini kural olarak bir devlet eyleminin varlığına bağlamakta ve özel hukuk aktörlerini anayasal denetimin dışında </w:t>
      </w:r>
      <w:r w:rsidR="00FA0582" w:rsidRPr="00FA0582">
        <w:lastRenderedPageBreak/>
        <w:t>bırakmaktadır</w:t>
      </w:r>
      <w:r w:rsidR="00FA0582">
        <w:rPr>
          <w:rStyle w:val="DipnotBavurusu"/>
        </w:rPr>
        <w:footnoteReference w:id="34"/>
      </w:r>
      <w:r w:rsidR="00FA0582">
        <w:t xml:space="preserve">. </w:t>
      </w:r>
      <w:r w:rsidR="00FA0582" w:rsidRPr="00FA0582">
        <w:t xml:space="preserve">Burada önerilen sistem-eylemi kavramı, bu </w:t>
      </w:r>
      <w:r>
        <w:t>öğretinin</w:t>
      </w:r>
      <w:r w:rsidR="00FA0582" w:rsidRPr="00FA0582">
        <w:t xml:space="preserve"> bir uzantısı değil, tam da onun sorduğu sorunun yerine bir başka soru koyma girişimidir. Devlet eylemi doktrini, “bu aktör devlet sayılabilir mi?” sorusuyla bir isnat eşiği kurar ve eşiği aşamayan her özel iktidarı anayasal denetimin dışında bırakır. Sistem-eylemi ise isnat değil </w:t>
      </w:r>
      <w:r w:rsidR="00FA0582">
        <w:t xml:space="preserve">bir </w:t>
      </w:r>
      <w:r w:rsidR="00FA0582" w:rsidRPr="00FA0582">
        <w:t>teşhis kategorisidir</w:t>
      </w:r>
      <w:r w:rsidR="00FA0582">
        <w:t xml:space="preserve">. </w:t>
      </w:r>
      <w:r w:rsidR="00FA0582" w:rsidRPr="00FA0582">
        <w:t>Anayasal etkilerin her zaman teşhis edilebilir bir emir veya faille değil, sıralama, sınıflandırma ve moderasyon mimarilerinin işleyişiyle üretildiğini gösterir; ancak bu iktidardan hukuken kimin sorumlu tutulacağını belirlemez.</w:t>
      </w:r>
      <w:r w:rsidR="00FA0582">
        <w:t xml:space="preserve"> </w:t>
      </w:r>
      <w:r w:rsidR="00FB4308" w:rsidRPr="00FB4308">
        <w:t>Bu nedenle burada önerilen model, Kıta Avrupası hukukunda gelişen yatay etki ve pozitif yükümlülükler yaklaşımına eklemlenmektedir</w:t>
      </w:r>
      <w:r w:rsidR="00FA0582">
        <w:rPr>
          <w:rStyle w:val="DipnotBavurusu"/>
        </w:rPr>
        <w:footnoteReference w:id="35"/>
      </w:r>
      <w:r w:rsidR="00FA0582" w:rsidRPr="00FA0582">
        <w:t xml:space="preserve">. </w:t>
      </w:r>
      <w:r w:rsidR="00FB4308" w:rsidRPr="00FB4308">
        <w:t>Sistem-eylemi kavramı, özel iktidarı devlet iktidarıyla özdeşleştirerek değil, devletin temel hakları koruma yükümlülüklerini algoritmik mimarilerin yarattığı yeni iktidar alanına uyarlayarak anayasal denetime açmayı amaçlamaktadır.</w:t>
      </w:r>
    </w:p>
    <w:p w14:paraId="6BF76138" w14:textId="4063242B" w:rsidR="00FA0582" w:rsidRDefault="00FB4308" w:rsidP="00A773D7">
      <w:pPr>
        <w:spacing w:after="120"/>
        <w:ind w:firstLine="566"/>
        <w:jc w:val="both"/>
      </w:pPr>
      <w:r w:rsidRPr="00FB4308">
        <w:t>Bu noktada teşhis ile sorumluluk arasında açık bir ayrım yapılmalıdır. Sistem-eylemi, anayasal etkilerin nerede üretildiğini gösterir; bu etkiler karşısında kimin hukuken yükümlü olduğunu ise tek başına belirlemez. Anayasal ve sözleşmesel düzlemde asli yükümlülük sahibi devlet olmaya devam e</w:t>
      </w:r>
      <w:r>
        <w:t>der</w:t>
      </w:r>
      <w:r w:rsidRPr="00FB4308">
        <w:t>. Ulusüstü hukuk düzenleri ise bu yükümlülüklerin ortak standartlarını belirlemekte ve bunların yargısal ya da kurumsal denetimini sağlamaktadır. Pozitif yükümlülükler, devletlerin platform iktidarını neden düzenlemek zorunda olduğunu; yatay etki ise platform yönetişiminin (</w:t>
      </w:r>
      <w:r w:rsidRPr="00FB4308">
        <w:rPr>
          <w:i/>
          <w:iCs/>
        </w:rPr>
        <w:t>platform governance</w:t>
      </w:r>
      <w:r w:rsidRPr="00FB4308">
        <w:t>) neden şirket ile kullanıcı arasındaki salt sözleşmesel bir ilişkiye indirgenemeyeceğini açıkla</w:t>
      </w:r>
      <w:r>
        <w:t>r</w:t>
      </w:r>
      <w:r w:rsidRPr="00FB4308">
        <w:t>.</w:t>
      </w:r>
      <w:r>
        <w:t xml:space="preserve"> </w:t>
      </w:r>
      <w:r w:rsidR="00FA0582" w:rsidRPr="00A773D7">
        <w:t>Bu ilişki, temel hakların özel kişiler arasındaki ilişkilere</w:t>
      </w:r>
      <w:r w:rsidR="00FA0582">
        <w:t>,</w:t>
      </w:r>
      <w:r w:rsidR="00FA0582" w:rsidRPr="00A773D7">
        <w:t xml:space="preserve"> devletin pozitif yükümlülükleri aracılığıyla etki ettiği bir yatay etki modeli </w:t>
      </w:r>
      <w:r w:rsidR="008A15BA" w:rsidRPr="008A15BA">
        <w:rPr>
          <w:i/>
          <w:iCs/>
        </w:rPr>
        <w:t xml:space="preserve">(positive-obligations-mediated form of horizontal effect) </w:t>
      </w:r>
      <w:r w:rsidR="00FA0582" w:rsidRPr="00A773D7">
        <w:t>olarak açıklanabilir.</w:t>
      </w:r>
    </w:p>
    <w:p w14:paraId="1BE50BF5" w14:textId="69363B78" w:rsidR="00354970" w:rsidRDefault="00C01CBD" w:rsidP="0023682C">
      <w:pPr>
        <w:spacing w:after="120"/>
        <w:ind w:firstLine="566"/>
        <w:jc w:val="both"/>
      </w:pPr>
      <w:r w:rsidRPr="00C01CBD">
        <w:t xml:space="preserve">Platform iktidarına ilişkin bu teşhis, platformların temel haklar rejimi içindeki konumunun da yeniden değerlendirilmesini gerektirir. </w:t>
      </w:r>
      <w:r w:rsidR="00354970">
        <w:t>P</w:t>
      </w:r>
      <w:r w:rsidR="00354970" w:rsidRPr="00354970">
        <w:t xml:space="preserve">latformlar, bir yandan devlet müdahaleleri karşısında ifade </w:t>
      </w:r>
      <w:r w:rsidR="00354970">
        <w:t xml:space="preserve">ve girişim özgürlüğünden </w:t>
      </w:r>
      <w:r w:rsidR="00354970" w:rsidRPr="00354970">
        <w:t>yararlanan özneler olmaya devam etmektedir. Diğer yandan</w:t>
      </w:r>
      <w:r w:rsidR="00354970">
        <w:t>,</w:t>
      </w:r>
      <w:r w:rsidR="00354970" w:rsidRPr="00354970">
        <w:t xml:space="preserve"> kamusal söylemin görünürlüğünü, dolaşımını ve erişilebilirliğini belirleyen altyapıları kontrol ettikleri ölçüde, kullanıcıların temel haklarının etkili kullanımına ilişkin belirli özen ve usul yükümlülüklerinin muhatabı hâline </w:t>
      </w:r>
      <w:r w:rsidR="00354970">
        <w:t xml:space="preserve">de </w:t>
      </w:r>
      <w:r w:rsidR="00354970" w:rsidRPr="00354970">
        <w:t xml:space="preserve">gelmektedirler. Bununla </w:t>
      </w:r>
      <w:r w:rsidR="00354970" w:rsidRPr="00354970">
        <w:lastRenderedPageBreak/>
        <w:t>birlikte</w:t>
      </w:r>
      <w:r w:rsidR="00354970">
        <w:t>,</w:t>
      </w:r>
      <w:r w:rsidR="00354970" w:rsidRPr="00354970">
        <w:t xml:space="preserve"> platformların yükümlülük muhatabı olarak kabul edilmesi, onların devletle aynı anlamda</w:t>
      </w:r>
      <w:r w:rsidR="00354970">
        <w:t xml:space="preserve">, </w:t>
      </w:r>
      <w:r w:rsidR="00354970" w:rsidRPr="00354970">
        <w:t>doğrudan anayasal veya sözleşmesel yükümlülük sahibi oldukları anlamına gelmez.</w:t>
      </w:r>
    </w:p>
    <w:p w14:paraId="777D9928" w14:textId="0609B017" w:rsidR="00354970" w:rsidRPr="00354970" w:rsidRDefault="00354970" w:rsidP="00354970">
      <w:pPr>
        <w:spacing w:after="120"/>
        <w:ind w:firstLine="566"/>
        <w:jc w:val="both"/>
      </w:pPr>
      <w:r w:rsidRPr="00354970">
        <w:t xml:space="preserve">AİHM’in aracı sorumluluğuna ilişkin içtihadı, doğrudan algoritmik görünürlüğe ilişkin olmamakla birlikte, özel aracı aktörlere yüklenebilecek yükümlülüklerin niteliği ve sınırları bakımından bu ayrımı destekleyen bir çerçeve sunmaktadır. Mahkeme, internet aracılarının üçüncü kişiler tarafından üretilen içeriklerden sorumluluğunu genel ve otomatik bir yükümlülük olarak değil; içeriğin niteliği, aracının ticari ve kurumsal konumu, içerik üzerindeki teknik kontrolü, aldığı önlemler, doğrudan faile başvurma imkânı ve yaptırımın caydırıcı etkisi gibi unsurlar üzerinden değerlendirmektedir. Açıkça hukuka aykırı nefret söylemi veya şiddete teşvik söz konusu olduğunda, profesyonel ve ticari bir aracıya belirli özen yükümlülükleri getirilmesi 10. maddeyle bağdaşabilirken; yalnızca saldırgan veya hakaret niteliğindeki ifadeler bakımından bağlamdan bağımsız ve otomatik sorumluluk yüklenmesi ifade özgürlüğünün ihlaline yol açabilmektedir. Herkese açık siyasal </w:t>
      </w:r>
      <w:r>
        <w:t xml:space="preserve">nitelikteki </w:t>
      </w:r>
      <w:r w:rsidRPr="00354970">
        <w:t>sosyal medya hesapları bakımından da sorumluluk, genel bir izleme yükümlülüğüne değil</w:t>
      </w:r>
      <w:r>
        <w:t xml:space="preserve">; </w:t>
      </w:r>
      <w:r w:rsidRPr="00354970">
        <w:t>hesabın kullanım amacı, içerik üzerindeki kontrol, paylaşımın bağlamı ve ilgili kişinin kamusal konumu esas alınarak kademelendirilmelidir</w:t>
      </w:r>
      <w:r>
        <w:rPr>
          <w:rStyle w:val="DipnotBavurusu"/>
        </w:rPr>
        <w:footnoteReference w:id="36"/>
      </w:r>
      <w:r>
        <w:t>.</w:t>
      </w:r>
      <w:r w:rsidRPr="00354970">
        <w:t xml:space="preserve"> AİHM’in bu yaklaşımı, sorumluluğun farklı aktörler arasında paylaşılabileceğini</w:t>
      </w:r>
      <w:r>
        <w:t>;</w:t>
      </w:r>
      <w:r w:rsidRPr="00354970">
        <w:t xml:space="preserve"> ancak</w:t>
      </w:r>
      <w:r>
        <w:t>,</w:t>
      </w:r>
      <w:r w:rsidRPr="00354970">
        <w:t xml:space="preserve"> her aktöre nesnel konumu ve fiilî kontrol kapasitesiyle orantılı yükümlülükler yüklenmesi gerektiğini göstermektedir.</w:t>
      </w:r>
    </w:p>
    <w:p w14:paraId="28699888" w14:textId="5915AC3B" w:rsidR="00354970" w:rsidRPr="00354970" w:rsidRDefault="00354970" w:rsidP="00354970">
      <w:pPr>
        <w:spacing w:after="120"/>
        <w:ind w:firstLine="566"/>
        <w:jc w:val="both"/>
      </w:pPr>
      <w:r w:rsidRPr="00354970">
        <w:t xml:space="preserve">Bu çalışmada kullanılan </w:t>
      </w:r>
      <w:r>
        <w:t>‘</w:t>
      </w:r>
      <w:r w:rsidRPr="00354970">
        <w:t>yükümlü aracı</w:t>
      </w:r>
      <w:r>
        <w:t xml:space="preserve">’ </w:t>
      </w:r>
      <w:r w:rsidRPr="00354970">
        <w:t>kavramı da bu çerçevede anlaşılmalıdır. Kavram, platformların devletin yerine geçtiğini veya devletle aynı anayasal statüyü kazandığını değil; temel hakların etkili kullanım koşullarını belirleyen altyapısal konumları nedeniyle belirli özen, şeffaflık, gerekçelendirme, eşit muamele ve başvuru yükümlülüklerine tâbi tutulmaları gerektiğini ifade eder. Platform</w:t>
      </w:r>
      <w:r w:rsidR="00DD438C">
        <w:t>lar</w:t>
      </w:r>
      <w:r w:rsidRPr="00354970">
        <w:t>, bu yükümlülüklerin fiilî ve hukuki muhatabı olabilir; ancak söz konusu yükümlülükleri kurma, dengeleme, denetleme ve etkili biçimde uygulatma konusundaki asli anayasal sorumluluk devlet</w:t>
      </w:r>
      <w:r>
        <w:t>e ait olmaya devam eder.</w:t>
      </w:r>
    </w:p>
    <w:p w14:paraId="12392D3A" w14:textId="7990A41D" w:rsidR="00A86516" w:rsidRPr="00354970" w:rsidRDefault="00354970" w:rsidP="00354970">
      <w:pPr>
        <w:spacing w:after="120"/>
        <w:ind w:firstLine="566"/>
        <w:jc w:val="both"/>
      </w:pPr>
      <w:r w:rsidRPr="00354970">
        <w:t xml:space="preserve">Bu yapı, temel hakların özel kişiler arasındaki ilişkilere doğrudan uygulanmasından </w:t>
      </w:r>
      <w:r>
        <w:t>çok</w:t>
      </w:r>
      <w:r w:rsidRPr="00354970">
        <w:t xml:space="preserve">, devletin pozitif yükümlülükleri aracılığıyla </w:t>
      </w:r>
      <w:r>
        <w:t xml:space="preserve">uygulanan </w:t>
      </w:r>
      <w:r w:rsidRPr="00354970">
        <w:t>bir yatay etki biçimidir (</w:t>
      </w:r>
      <w:r w:rsidRPr="00354970">
        <w:rPr>
          <w:i/>
          <w:iCs/>
        </w:rPr>
        <w:t>positive-obligations-mediated horizontal effect</w:t>
      </w:r>
      <w:r w:rsidRPr="00354970">
        <w:t>). AİHM, ifade özgürlüğünün etkili kullanımının yalnızca devletin müdahaleden kaçınmasına bağlı olmadığını, kişiler arasındaki ilişkiler</w:t>
      </w:r>
      <w:r w:rsidR="00F35D01">
        <w:t xml:space="preserve">de de </w:t>
      </w:r>
      <w:r w:rsidRPr="00354970">
        <w:t xml:space="preserve">koruyucu tedbirlerin gerekli olabileceğini kabul etmektedir. </w:t>
      </w:r>
      <w:r>
        <w:t>Ö</w:t>
      </w:r>
      <w:r w:rsidRPr="00354970">
        <w:t>zel aktörlerin kararları, ifade özgürlüğünün etkili biçimde kullanılmasını bütünüyle ortadan kaldırıyor ya da hakkın özüne dokunuyorsa</w:t>
      </w:r>
      <w:r>
        <w:t xml:space="preserve">, </w:t>
      </w:r>
      <w:r w:rsidRPr="00354970">
        <w:t>devlet</w:t>
      </w:r>
      <w:r>
        <w:t xml:space="preserve">in </w:t>
      </w:r>
      <w:r w:rsidRPr="00354970">
        <w:t>pozitif yükümlülü</w:t>
      </w:r>
      <w:r>
        <w:t>ğü doğabilecektir</w:t>
      </w:r>
      <w:r w:rsidRPr="00354970">
        <w:t xml:space="preserve">. Bunun yanında devlet, </w:t>
      </w:r>
      <w:r>
        <w:t xml:space="preserve">kişilerin </w:t>
      </w:r>
      <w:r w:rsidRPr="00354970">
        <w:t>düşüncelerini korkmadan açıklayabilecekleri ve kamusal tartışmaya katılabilecekleri elverişli bir ortamı korumakla yükümlüdür</w:t>
      </w:r>
      <w:r>
        <w:rPr>
          <w:rStyle w:val="DipnotBavurusu"/>
        </w:rPr>
        <w:footnoteReference w:id="37"/>
      </w:r>
      <w:r>
        <w:t>.</w:t>
      </w:r>
      <w:r w:rsidRPr="00354970">
        <w:t xml:space="preserve"> </w:t>
      </w:r>
      <w:r w:rsidR="00A86516">
        <w:t>Bu yaklaşım, t</w:t>
      </w:r>
      <w:r w:rsidR="00A86516" w:rsidRPr="00354970">
        <w:t>emel altyapıların</w:t>
      </w:r>
      <w:r w:rsidR="00A86516">
        <w:t xml:space="preserve"> </w:t>
      </w:r>
      <w:r w:rsidR="00A86516" w:rsidRPr="00354970">
        <w:t xml:space="preserve">özel aktörlerin kontrolünde bulunduğu </w:t>
      </w:r>
      <w:r w:rsidR="00A86516">
        <w:t xml:space="preserve">dijital kamusal alanda siyasal katılma hakkına ilişkin </w:t>
      </w:r>
      <w:r w:rsidR="00A86516" w:rsidRPr="00354970">
        <w:t>önemli bir analitik dayanak sunmaktadır.</w:t>
      </w:r>
    </w:p>
    <w:p w14:paraId="79ACB05A" w14:textId="1DBC538C" w:rsidR="00354970" w:rsidRPr="00354970" w:rsidRDefault="00F35D01" w:rsidP="00354970">
      <w:pPr>
        <w:spacing w:after="120"/>
        <w:ind w:firstLine="566"/>
        <w:jc w:val="both"/>
      </w:pPr>
      <w:r w:rsidRPr="00F35D01">
        <w:t>Devletin dijital kamusal alandaki pozitif yükümlülüğü, platformların bütün içerik kararlarının devlet tarafından doğrudan yönetilmesini veya denetlenmesini gerektirmez</w:t>
      </w:r>
      <w:r w:rsidR="00354970" w:rsidRPr="00354970">
        <w:t>.</w:t>
      </w:r>
      <w:r>
        <w:t xml:space="preserve"> </w:t>
      </w:r>
      <w:r w:rsidR="00354970" w:rsidRPr="00354970">
        <w:lastRenderedPageBreak/>
        <w:t xml:space="preserve">Devletin görevi; platform iktidarının temel haklar üzerindeki etkilerini düzenleyen açık ve öngörülebilir bir hukuki çerçeve kurmak, kullanıcıları keyfî kaldırma, erişim </w:t>
      </w:r>
      <w:r w:rsidR="00A86516">
        <w:t xml:space="preserve">engeli getirme </w:t>
      </w:r>
      <w:r w:rsidR="00354970" w:rsidRPr="00354970">
        <w:t>ve görünmez kılma kararlarına karşı korumak, etkili başvuru ve bağımsız denetim yolları oluşturmak ve kamusal tartışmaya eşit katılımın koşullarını güvence altına almaktır. Devlet</w:t>
      </w:r>
      <w:r w:rsidR="00A86516">
        <w:t xml:space="preserve">, </w:t>
      </w:r>
      <w:r w:rsidR="00354970" w:rsidRPr="00354970">
        <w:t>aynı zamanda aracıları belirsiz, genel ve sınırsız sorumluluk tehditleri altında aşırı içerik kaldırmaya yöneltecek düzenlemelerden kaçınmalıdır. AİHM’in aracı sorumluluğu içtihadının ortaya koyduğu yaklaşım da hukuka aykırı içeriğin etkili biçimde önlenmesi ile caydırıcı etkinin engellenmesi arasında adil bir denge kurulmasını gerektirir</w:t>
      </w:r>
      <w:r w:rsidR="00A86516">
        <w:rPr>
          <w:rStyle w:val="DipnotBavurusu"/>
        </w:rPr>
        <w:footnoteReference w:id="38"/>
      </w:r>
      <w:r w:rsidR="00354970" w:rsidRPr="00354970">
        <w:t>.</w:t>
      </w:r>
      <w:r w:rsidR="00FB4308">
        <w:t xml:space="preserve"> Dolayısıyla, y</w:t>
      </w:r>
      <w:r w:rsidR="00FB4308" w:rsidRPr="00FB4308">
        <w:t>atay etkinin gerektirdiği korumanın düzenleme, denetim ve etkili başvuru mekanizmaları aracılığıyla hayata geçirilmesi de devletin pozitif yükümlülüklerinin bir parçasıdır</w:t>
      </w:r>
      <w:r w:rsidR="00FB4308">
        <w:rPr>
          <w:rStyle w:val="DipnotBavurusu"/>
        </w:rPr>
        <w:footnoteReference w:id="39"/>
      </w:r>
      <w:r w:rsidR="00FB4308">
        <w:t>.</w:t>
      </w:r>
    </w:p>
    <w:p w14:paraId="70F67549" w14:textId="7E6ED69E" w:rsidR="00354970" w:rsidRPr="00354970" w:rsidRDefault="00354970" w:rsidP="00354970">
      <w:pPr>
        <w:spacing w:after="120"/>
        <w:ind w:firstLine="566"/>
        <w:jc w:val="both"/>
      </w:pPr>
      <w:r w:rsidRPr="00354970">
        <w:t xml:space="preserve">Platformların temel haklar rejimindeki konumu bu nedenle iki yönlüdür. </w:t>
      </w:r>
      <w:r w:rsidR="00DD438C" w:rsidRPr="00354970">
        <w:t>Platformlar devlet müdahaleleri karşısında hakların korunan özneleri olmakla birlikte</w:t>
      </w:r>
      <w:r w:rsidR="00DD438C" w:rsidRPr="00DD438C">
        <w:t>, yalnızca piyasada dijital hizmet sunan sıradan şirketler değildir</w:t>
      </w:r>
      <w:r w:rsidR="00DD438C">
        <w:t>. K</w:t>
      </w:r>
      <w:r w:rsidR="00DD438C" w:rsidRPr="00DD438C">
        <w:t>amusal iletişimin, görünürlüğün ve siyasal katılımın altyapısal koşullarını örgütleyen özel iktidar odaklarıdır.</w:t>
      </w:r>
      <w:r w:rsidR="00DD438C">
        <w:t xml:space="preserve"> Bu nedenle, hukuki</w:t>
      </w:r>
      <w:r w:rsidRPr="00354970">
        <w:t xml:space="preserve"> yükümlülüklerin de muhatabıdır</w:t>
      </w:r>
      <w:r w:rsidR="00DD438C">
        <w:t>lar</w:t>
      </w:r>
      <w:r w:rsidRPr="00354970">
        <w:t>. Anayasa hukukunun görevi, bu ikili konumu hem aşırı içerik kaldırmayı ve bunun doğuracağı caydırıcı etkiyi hem de keyfî erişim düşürme ve görünmezleştirmeyi önleyecek maddi ve usulî bir çerçeveye kavuşturmaktır. Bu model, anayasal sorumluluğun devletten platformlara devredilmesini değil; devletin pozitif yükümlülükleri aracılığıyla platform iktidarının temel hak güvencelerine bağlanmasını öngörmektedir.</w:t>
      </w:r>
    </w:p>
    <w:p w14:paraId="1AB83BD5" w14:textId="49831332" w:rsidR="004F5E95" w:rsidRDefault="004F5E95" w:rsidP="0086374F">
      <w:pPr>
        <w:spacing w:after="120"/>
        <w:ind w:firstLine="566"/>
        <w:jc w:val="both"/>
      </w:pPr>
      <w:r w:rsidRPr="004F5E95">
        <w:t>Platformların temel hak güvencelerine tâbi tutulması, güçlü bir karşı itirazı beraberinde getirir: Özel platform iktidarını sınırlamak amacıyla devlete tanınan düzenleme ve denetim yetkisi, anayasacılığın sınırlamayı amaçladığı yeni bir kamusal denetim aracına dönüşebilir mi? Bu itiraza dört tamamlayıcı güvence üzerinden yanıt verilebilir.</w:t>
      </w:r>
    </w:p>
    <w:p w14:paraId="130585C1" w14:textId="184ACDEB" w:rsidR="004F5E95" w:rsidRDefault="004F5E95" w:rsidP="0086374F">
      <w:pPr>
        <w:spacing w:after="120"/>
        <w:ind w:firstLine="566"/>
        <w:jc w:val="both"/>
      </w:pPr>
      <w:r w:rsidRPr="004F5E95">
        <w:t xml:space="preserve">İlk olarak, platform iktidarının anayasal denetimi bakımından devlete tanınacak yetkinin ağırlık merkezi, ifade edilen görüşün doğruluğunu veya kabul edilebilirliğini belirlemekte değil, iktidar kullanımının tâbi olduğu usul ve biçimi güvence altına almakta bulunmalıdır. Bu yaklaşım, devletin nefret söylemi, şiddete teşvik veya diğer hukuka aykırı içerikler karşısında hiçbir düzenleme yapamayacağı anlamına gelmez. </w:t>
      </w:r>
      <w:r w:rsidR="004D4A94" w:rsidRPr="004D4A94">
        <w:t>Bununla birlikte devlet, kamusal söylemin içeriğini belirleyen bir otoriteye dönüşmemeli;</w:t>
      </w:r>
      <w:r w:rsidRPr="004F5E95">
        <w:t xml:space="preserve"> görünürlüğü, erişimi ve dolaşımı etkileyen kararların hangi kurallara dayandığını, neden alındığını ve hangi yöntemlerle üretildiğini açıklama yükümlülüğü getirmekle yetinmelidir. Dolayısıyla</w:t>
      </w:r>
      <w:r>
        <w:t>,</w:t>
      </w:r>
      <w:r w:rsidRPr="004F5E95">
        <w:t xml:space="preserve"> burada söz konusu olan, “ne söyleneceğini” emretme</w:t>
      </w:r>
      <w:r>
        <w:t>k değil,</w:t>
      </w:r>
      <w:r w:rsidRPr="004F5E95">
        <w:t xml:space="preserve"> iktidara “neden” sorusunu yöneltmektir</w:t>
      </w:r>
      <w:r>
        <w:rPr>
          <w:rStyle w:val="DipnotBavurusu"/>
        </w:rPr>
        <w:footnoteReference w:id="40"/>
      </w:r>
      <w:r w:rsidRPr="004F5E95">
        <w:t xml:space="preserve">. </w:t>
      </w:r>
    </w:p>
    <w:p w14:paraId="77BAAFC4" w14:textId="3059D712" w:rsidR="004F5E95" w:rsidRDefault="004F5E95" w:rsidP="0086374F">
      <w:pPr>
        <w:spacing w:after="120"/>
        <w:ind w:firstLine="566"/>
        <w:jc w:val="both"/>
      </w:pPr>
      <w:r w:rsidRPr="004F5E95">
        <w:lastRenderedPageBreak/>
        <w:t>İkinci olarak, sistem-eylemi</w:t>
      </w:r>
      <w:r>
        <w:t xml:space="preserve"> para</w:t>
      </w:r>
      <w:r w:rsidR="00F35D01">
        <w:t>d</w:t>
      </w:r>
      <w:r>
        <w:t>i</w:t>
      </w:r>
      <w:r w:rsidR="00F35D01">
        <w:t>g</w:t>
      </w:r>
      <w:r>
        <w:t>ması</w:t>
      </w:r>
      <w:r w:rsidRPr="004F5E95">
        <w:t xml:space="preserve"> failden bağımsız bir teşhis kategorisidir. Kavramın işlevi</w:t>
      </w:r>
      <w:r>
        <w:t xml:space="preserve">, </w:t>
      </w:r>
      <w:r w:rsidRPr="004F5E95">
        <w:t xml:space="preserve">belirli bir aktöre ayrıcalık tanımak değil, anayasal iktidarın hangi sosyo-teknik yapı içinde üretildiğini göstermektir. Bu nedenle sistem-eylemi ölçütü yalnızca özel platformlara değil, devletin kullandığı algoritmik sistemlere de uygulanmalıdır. Devlet; platformlar üzerinde kurduğu baskı, gözetim teknolojileri veya kendi yapay zekâ sistemleri aracılığıyla muhalif görüşleri geri plana itiyor ya da belirli kişi ve grupları dezavantajlı kılıyorsa, platformlardan talep ettiği şeffaflık, gerekçelendirme, anlamlı insan denetimi ve etkili başvuru güvencelerine kendisi de tâbi olmalıdır. Bu denetimin </w:t>
      </w:r>
      <w:r>
        <w:t>dijital kamusal alanda siyasal katılma</w:t>
      </w:r>
      <w:r w:rsidRPr="004F5E95">
        <w:t xml:space="preserve"> </w:t>
      </w:r>
      <w:r>
        <w:t xml:space="preserve">söz konusu olduğunda </w:t>
      </w:r>
      <w:r w:rsidRPr="004F5E95">
        <w:t>yoğunlaştırılması gerekir</w:t>
      </w:r>
      <w:r>
        <w:rPr>
          <w:rStyle w:val="DipnotBavurusu"/>
        </w:rPr>
        <w:footnoteReference w:id="41"/>
      </w:r>
      <w:r w:rsidRPr="004F5E95">
        <w:t xml:space="preserve">. </w:t>
      </w:r>
    </w:p>
    <w:p w14:paraId="352982B0" w14:textId="3A576F36" w:rsidR="004F5E95" w:rsidRDefault="004F5E95" w:rsidP="0086374F">
      <w:pPr>
        <w:spacing w:after="120"/>
        <w:ind w:firstLine="566"/>
        <w:jc w:val="both"/>
      </w:pPr>
      <w:r w:rsidRPr="004F5E95">
        <w:t>Üçüncü olarak, dengeyi koruyan temel ilke karşılıklılık olmalıdır. Ancak burada karşılıklılık, devlet ile platformların farklı hukuki statü ve işlevleri göz ardı edilerek bütünüyle özdeş yükümlülüklere tâbi tutulması anlamına gelmez. Devlet, platformlardan talep ettiği usul güvencelerinin işlevsel olarak karşılaştırılabilir olanlarını kendi algoritmik iktidar kullanımı bakımından da kabul etmelidir. Platformdan kararlarını gerekçelendirmesini isteyen devlet, bireylerin haklarını etkileyen algoritmik kamu kararlarını da gerekçelendirmeli; platformdan otomasyon kullanımını açıklamasını isteyen devlet, kendi otomatik karar sistemlerini de görünür kılmalı; platform kararlarına karşı etkili başvuru yolları öngören devlet, kamu sistemlerinin ürettiği sonuçlara karşı da etkili ve erişilebilir başvuru yolları sağlamalıdır. Bu anlamda anayasal denetimin aynası her iki yöne çevrilmelidir</w:t>
      </w:r>
      <w:r>
        <w:rPr>
          <w:rStyle w:val="DipnotBavurusu"/>
        </w:rPr>
        <w:footnoteReference w:id="42"/>
      </w:r>
      <w:r w:rsidRPr="004F5E95">
        <w:t>.</w:t>
      </w:r>
    </w:p>
    <w:p w14:paraId="2B602BBE" w14:textId="0DA5DBC6" w:rsidR="004F5E95" w:rsidRDefault="00F6113A" w:rsidP="0086374F">
      <w:pPr>
        <w:spacing w:after="120"/>
        <w:ind w:firstLine="566"/>
        <w:jc w:val="both"/>
      </w:pPr>
      <w:r w:rsidRPr="00F6113A">
        <w:t>Dördüncü olarak, söz konusu yükümlülüklerin uygulanması yürütme organının tek taraflı denetimine bırakılamaz. Denetim yetkisi; bağımsızlığı, tarafsızlığı, çoğulcu yapısı, uzmanlığı ve kaynakları hukuken güvence altına alınmış kurumlar tarafından kullanılmalıdır.</w:t>
      </w:r>
      <w:r>
        <w:t xml:space="preserve"> Bu noktada, her ne kadar </w:t>
      </w:r>
      <w:r w:rsidRPr="00F6113A">
        <w:t>ulusal insan hakları kurumlarının statüsüne ilişkin ol</w:t>
      </w:r>
      <w:r>
        <w:t>sa da</w:t>
      </w:r>
      <w:r w:rsidRPr="00F6113A">
        <w:t xml:space="preserve"> Paris İlkeleri </w:t>
      </w:r>
      <w:r>
        <w:t>esas alınarak,</w:t>
      </w:r>
      <w:r w:rsidRPr="00F6113A">
        <w:t xml:space="preserve"> geniş görev alanı, çoğulcu oluşum, kurumsal bağımsızlık ve yeterli kayna</w:t>
      </w:r>
      <w:r>
        <w:t xml:space="preserve">ğa sahip olmaya </w:t>
      </w:r>
      <w:r w:rsidRPr="00F6113A">
        <w:t>ilişkin ölçütler</w:t>
      </w:r>
      <w:r>
        <w:t xml:space="preserve"> </w:t>
      </w:r>
      <w:r w:rsidRPr="00F6113A">
        <w:t xml:space="preserve">dijital denetim kurumlarının tasarımı bakımından </w:t>
      </w:r>
      <w:r>
        <w:t xml:space="preserve">da </w:t>
      </w:r>
      <w:r w:rsidRPr="00F6113A">
        <w:t xml:space="preserve">normatif referans </w:t>
      </w:r>
      <w:r>
        <w:t>olabilirler</w:t>
      </w:r>
      <w:r>
        <w:rPr>
          <w:rStyle w:val="DipnotBavurusu"/>
        </w:rPr>
        <w:footnoteReference w:id="43"/>
      </w:r>
      <w:r>
        <w:t>.</w:t>
      </w:r>
      <w:r w:rsidRPr="00F6113A">
        <w:t xml:space="preserve"> Bu, Paris İlkeleri’nin dijital düzenleyici kurumlara doğrudan uygulanması değil, bağımsız kurumsal tasarım için analojik biçimde kullanılması anlamına gelir. </w:t>
      </w:r>
      <w:r>
        <w:t xml:space="preserve">Konuya ilişkin </w:t>
      </w:r>
      <w:r w:rsidRPr="00F6113A">
        <w:t>Avrupa Konseyi Yapay Zekâ Çerçeve Sözleşmesi ise daha doğrudan biçimde</w:t>
      </w:r>
      <w:r>
        <w:t xml:space="preserve"> normatif bir çerçeve önermekte ve</w:t>
      </w:r>
      <w:r w:rsidRPr="00F6113A">
        <w:t xml:space="preserve"> tarafların Sözleşme yükümlülüklerine uyumu denetlemek üzere bağımsız ve tarafsız çalışan, gerekli yetki, uzmanlık ve kaynaklara sahip etkili gözetim mekanizmaları kurmasını öngörmektedir</w:t>
      </w:r>
      <w:r>
        <w:rPr>
          <w:rStyle w:val="DipnotBavurusu"/>
        </w:rPr>
        <w:footnoteReference w:id="44"/>
      </w:r>
      <w:r>
        <w:t>.</w:t>
      </w:r>
    </w:p>
    <w:p w14:paraId="7FCDDAAD" w14:textId="01F92040" w:rsidR="00F6113A" w:rsidRDefault="00F6113A" w:rsidP="0086374F">
      <w:pPr>
        <w:spacing w:after="120"/>
        <w:ind w:firstLine="566"/>
        <w:jc w:val="both"/>
      </w:pPr>
      <w:r w:rsidRPr="00F6113A">
        <w:t>Venedik Komisyonu</w:t>
      </w:r>
      <w:r>
        <w:t>’</w:t>
      </w:r>
      <w:r w:rsidRPr="00F6113A">
        <w:t xml:space="preserve">nun güncellenmiş Hukuk Devleti Kontrol Listesi de bu kurumsal yaklaşımı desteklemektedir. Komisyon, belirli bir sektördeki hâkimiyetleri nedeniyle kamu makamlarının kararlarına benzer etkiler doğurabilen özel aktörlerin hukuk devleti ve insan hakları güvencelerine tâbi tutulmasını; kararlarına karşı etkili yargısal denetim sağlanmasını ve </w:t>
      </w:r>
      <w:r w:rsidRPr="00F6113A">
        <w:lastRenderedPageBreak/>
        <w:t>özel yapay zekâ sağlayıcıları bakımından risk ve etki değerlendirmeleriyle bağımsız gözetim mekanizmaları kurulmasını önermektedir. Komisyon ayrıca</w:t>
      </w:r>
      <w:r>
        <w:t>,</w:t>
      </w:r>
      <w:r w:rsidRPr="00F6113A">
        <w:t xml:space="preserve"> özel iktidarın düzenlenmesini, devletin bireyleri özel aktörler karşısında korumaya yönelik pozitif yükümlülüklerinin bir gereği olarak değerlendirmekte ve bu meselenin ifade özgürlüğü, kamusal tartışma ve çevrim içi platformlar bakımından özel önem taşıdığını belirtmektedir</w:t>
      </w:r>
      <w:r>
        <w:rPr>
          <w:rStyle w:val="DipnotBavurusu"/>
        </w:rPr>
        <w:footnoteReference w:id="45"/>
      </w:r>
      <w:r w:rsidRPr="00F6113A">
        <w:t>.</w:t>
      </w:r>
    </w:p>
    <w:p w14:paraId="7D169B0D" w14:textId="14BA05DC" w:rsidR="00F6113A" w:rsidRDefault="00F6113A" w:rsidP="0086374F">
      <w:pPr>
        <w:spacing w:after="120"/>
        <w:ind w:firstLine="566"/>
        <w:jc w:val="both"/>
      </w:pPr>
      <w:r>
        <w:t>D</w:t>
      </w:r>
      <w:r w:rsidRPr="00F6113A">
        <w:t>enetim kurumları; anayasa yargısı, idari yargı, bölgesel insan hakları mahkemeleri ve uygulanabildiği ölçüde ulusüstü yargı mercileriyle tamamlanmalıdır. Buradaki amaç, dijital kamusal alan üzerinde yetkili yeni ve tek bir nihai hakem yaratmak değil; hiçbir kurumun alanın bütünü üzerinde tek başına hâkimiyet kuramadığı çok düzeyli bir denetim yapısı oluşturmaktır. Bununla birlikte</w:t>
      </w:r>
      <w:r>
        <w:t xml:space="preserve">, </w:t>
      </w:r>
      <w:r w:rsidRPr="00F6113A">
        <w:t xml:space="preserve">önerilen </w:t>
      </w:r>
      <w:r>
        <w:t>modelin</w:t>
      </w:r>
      <w:r w:rsidRPr="00F6113A">
        <w:t xml:space="preserve"> yapısal sınırı </w:t>
      </w:r>
      <w:r>
        <w:t>açıktır.</w:t>
      </w:r>
      <w:r w:rsidRPr="00F6113A">
        <w:t xml:space="preserve"> Model, kendisinin tek başına güvence altına alamayacağı bir ön koşula, devletin hâlen hukukla bağlı olduğu varsayımına dayanmaktadır.</w:t>
      </w:r>
      <w:r>
        <w:t xml:space="preserve"> B</w:t>
      </w:r>
      <w:r w:rsidRPr="00F6113A">
        <w:t>ağımsız denetim organlarının işlevsizleştirildiği veya yargısal güvencelerin ortadan kaldırıldığı durumlarda bu çerçeve, en fazla ihtiyaç duyulduğu yerde en sınırlı korumayı sunacaktır. Bu zayıflık, çok düzeyli ve dağıtılmış denetim ihtiyacını ortadan kaldırmaz; aksine güçlendirir. Nitekim Venedik Komisyonu, teknolojik gelişmelerin ve platformlar dâhil özel aktörlerin artan gücünün hukuk devletinin klasik varsayımlarını zorladığını; bu gelişmelerin etkili denge ve denetim mekanizmalarıyla bağımsız kurumların önemini artırdığını belirtmektedir</w:t>
      </w:r>
      <w:r>
        <w:rPr>
          <w:rStyle w:val="DipnotBavurusu"/>
        </w:rPr>
        <w:footnoteReference w:id="46"/>
      </w:r>
      <w:r w:rsidRPr="00F6113A">
        <w:t>.</w:t>
      </w:r>
    </w:p>
    <w:p w14:paraId="75DDA69A" w14:textId="0D9A896A" w:rsidR="0086374F" w:rsidRDefault="0086374F" w:rsidP="0086374F">
      <w:pPr>
        <w:spacing w:after="120"/>
        <w:ind w:firstLine="566"/>
        <w:jc w:val="both"/>
      </w:pPr>
      <w:r w:rsidRPr="0086374F">
        <w:t xml:space="preserve">Bu nedenle burada önerilen usulî anayasacılık modeli, yeni bir Leviathan, Benthamcı bir gözetleme kulesi veya Foucaultcu bir disiplin mekanizması olarak anlaşılmamalıdır. </w:t>
      </w:r>
      <w:r w:rsidR="004D4A94" w:rsidRPr="004D4A94">
        <w:t>Modelin amacı, devlete kamusal söylemin içeriğini belirleme yetkisi tanımak değil; yurttaşların bilgiye erişme, görüşlerini görünür kılma ve siyasal tartışmaya etkili biçimde katılma koşullarını biçimlendiren platformları ve algoritmik sistemleri açıklama, gerekçelendirme ve denetim yükümlülüklerine tâbi tutmaktır.</w:t>
      </w:r>
    </w:p>
    <w:p w14:paraId="494D8371" w14:textId="78B9E7D5" w:rsidR="008D0001" w:rsidRPr="008D0001" w:rsidRDefault="008D0001" w:rsidP="0086374F">
      <w:pPr>
        <w:spacing w:after="120"/>
        <w:ind w:firstLine="566"/>
        <w:jc w:val="both"/>
        <w:rPr>
          <w:b/>
          <w:bCs/>
        </w:rPr>
      </w:pPr>
      <w:r w:rsidRPr="008D0001">
        <w:rPr>
          <w:b/>
          <w:bCs/>
        </w:rPr>
        <w:t>IV. SONUÇ</w:t>
      </w:r>
      <w:r w:rsidR="00FC574D">
        <w:rPr>
          <w:b/>
          <w:bCs/>
        </w:rPr>
        <w:t xml:space="preserve"> ve DEĞERLENDİRME</w:t>
      </w:r>
    </w:p>
    <w:p w14:paraId="223E5D03" w14:textId="3565EC9A" w:rsidR="00FC574D" w:rsidRPr="00FC574D" w:rsidRDefault="008B1FE1" w:rsidP="00FC574D">
      <w:pPr>
        <w:spacing w:after="120"/>
        <w:ind w:firstLine="566"/>
        <w:jc w:val="both"/>
      </w:pPr>
      <w:r>
        <w:t xml:space="preserve">Başlangıçtaki soruya cevap vererek bitirmek gerekirse: </w:t>
      </w:r>
      <w:r w:rsidR="008D0001">
        <w:t>P</w:t>
      </w:r>
      <w:r w:rsidR="00F6113A" w:rsidRPr="00F6113A">
        <w:t>latformlar görünürlüğü, dolaşımı ve kamusal alandan silinmeyi yönetiyorsa anayasal sorun artık yalnızca ifadeyi kimin yönettiğiyle sınırlı değildi</w:t>
      </w:r>
      <w:r w:rsidR="008D0001">
        <w:t>r.</w:t>
      </w:r>
      <w:r w:rsidR="006B1BC8">
        <w:t xml:space="preserve"> </w:t>
      </w:r>
      <w:r w:rsidR="00AE0B75" w:rsidRPr="00AE0B75">
        <w:t>Sorun, yurttaşların bilgiye erişme, kanaat oluşturma, görüşlerini görünür kılma ve kamusal tartışmaya etkili biçimde katılma koşullarının kim tarafından belirlendiğini</w:t>
      </w:r>
      <w:r w:rsidR="00AE0B75">
        <w:t xml:space="preserve"> de </w:t>
      </w:r>
      <w:r w:rsidR="00AE0B75" w:rsidRPr="00AE0B75">
        <w:t>kapsa</w:t>
      </w:r>
      <w:r w:rsidR="00AE0B75">
        <w:t>r</w:t>
      </w:r>
      <w:r w:rsidR="00AE0B75" w:rsidRPr="00AE0B75">
        <w:t>. Bununla birlikte parçalanmış bir dijital kamusal alana verilecek anayasal yanıt, devletin kamusal söylemin içeriğini tayin etmesi olamaz. Güvence altına alınması gereken, farklı bilgi ve görüşlerin görünür olabildiği, karşılıklı olarak tartışılabildiği, itiraza açık tutulduğu ve kamusal sınamaya tâbi kılındığı katılım koşullarıdır.</w:t>
      </w:r>
    </w:p>
    <w:p w14:paraId="4D830452" w14:textId="2676FC59" w:rsidR="00FC574D" w:rsidRPr="00FC574D" w:rsidRDefault="00FC574D" w:rsidP="00FC574D">
      <w:pPr>
        <w:spacing w:after="120"/>
        <w:ind w:firstLine="566"/>
        <w:jc w:val="both"/>
      </w:pPr>
      <w:r w:rsidRPr="00FC574D">
        <w:t>Sistem-eylemi yaklaşımı, platformları devlet organlarıyla özdeşleştirmeyi veya anayasal sorumluluğu algoritmalara yüklemeyi amaçlama</w:t>
      </w:r>
      <w:r w:rsidR="00D11318">
        <w:t>z</w:t>
      </w:r>
      <w:r w:rsidRPr="00FC574D">
        <w:t>. Kavramın işlevi, anayasal ölçekte etkiler doğuran iktidarın artık yalnızca açık emirler ve teşhis edilebilir kararlar yoluyla değil; sıralama, sınıflandırma, tavsiye ve moderasyon mimarileri içinde de üretildiğini görünür kılmaktır. Bu teşhisin hukuki sonucu, sorumluluğun devletten platformlara devredilmesi değil, devletin pozitif yükümlülüklerinin bu yeni iktidar alanına uyarlanmasıdır.</w:t>
      </w:r>
    </w:p>
    <w:p w14:paraId="36499B86" w14:textId="77777777" w:rsidR="00FC574D" w:rsidRPr="00FC574D" w:rsidRDefault="00FC574D" w:rsidP="00FC574D">
      <w:pPr>
        <w:spacing w:after="120"/>
        <w:ind w:firstLine="566"/>
        <w:jc w:val="both"/>
      </w:pPr>
      <w:r w:rsidRPr="00FC574D">
        <w:lastRenderedPageBreak/>
        <w:t>Bu çerçevede platformlar, devlet müdahaleleri karşısında temel hakların korunan özneleri olmaya devam etmekle birlikte, kullanıcıların ifade, örgütlenme ve siyasal katılma özgürlüklerinin fiilî kullanım koşullarını belirledikleri ölçüde “yükümlü aracılar” olarak değerlendirilmelidir. Bu yükümlülüklerin kurulması, dengelenmesi ve etkili biçimde denetlenmesi ise asli anayasal yükümlülük sahibi olan devlete düşmektedir. Dolayısıyla önerilen model, temel hakların özel kişiler arasındaki ilişkilere, devletin pozitif yükümlülükleri aracılığıyla etki ettiği dolayımlı bir yatay etki anlayışına dayanmaktadır.</w:t>
      </w:r>
    </w:p>
    <w:p w14:paraId="40E0466F" w14:textId="77777777" w:rsidR="00FC574D" w:rsidRPr="00FC574D" w:rsidRDefault="00FC574D" w:rsidP="00FC574D">
      <w:pPr>
        <w:spacing w:after="120"/>
        <w:ind w:firstLine="566"/>
        <w:jc w:val="both"/>
      </w:pPr>
      <w:r w:rsidRPr="00FC574D">
        <w:t>Siyasal katılma bakımından bu sonucun önemi açıktır. Katılma uzun süredir yalnızca kişilerin fiziksel olarak bir araya gelmesiyle gerçekleşen bir faaliyet değildir. Dijital araçlar, yurttaşların bilgiye erişmesini, örgütlenmesini, ortak talepler oluşturmasını ve kamusal karar süreçlerine katılmasını kolaylaştırmaktadır. Yapay zekâ bu kapasiteyi daha da genişletebilir: Karmaşık kamusal meseleleri anlaşılır hâle getirebilir, dil ve erişilebilirlik engellerini azaltabilir ve çok sayıdaki yurttaş görüşünün işlenmesini kolaylaştırabilir. Bununla birlikte aynı araçlar, katılımı yönlendirme, görüşleri manipüle etme ve kamusal tartışmanın sınırlarını görünmez biçimde daraltma kapasitesine de sahiptir. Dolayısıyla yapay zekâ, siyasal katılmanın hem genişleme imkânını hem de yeni kırılganlıklarını bünyesinde barındırmaktadır.</w:t>
      </w:r>
    </w:p>
    <w:p w14:paraId="76FAF998" w14:textId="4295EE9D" w:rsidR="00FC574D" w:rsidRPr="00FC574D" w:rsidRDefault="00FC574D" w:rsidP="00FC574D">
      <w:pPr>
        <w:spacing w:after="120"/>
        <w:ind w:firstLine="566"/>
        <w:jc w:val="both"/>
      </w:pPr>
      <w:r w:rsidRPr="00FC574D">
        <w:t>Bu nedenle platformların anayasa</w:t>
      </w:r>
      <w:r w:rsidR="00D11318">
        <w:t>l bir çerçeveye oturtulması</w:t>
      </w:r>
      <w:r w:rsidRPr="00FC574D">
        <w:t xml:space="preserve"> yalnızca hakların teknik mimariye yerleştirilmesine veya birkaç usulî güvence getirilmesine indirgenemez. Hukukun üstünlüğü ve temel haklar, teknik sistemlere mekanik ve eksiksiz biçimde kodlanabilecek sabit kurallar değildir. Anayasal değerlerin tasarıma aktarılması, kaçınılmaz olarak yorum, önceliklendirme ve haklar arasında dengeleme içerir. Bu sürecin yalnızca mühendislik ekiplerine ve şirket içi yönetişim mekanizmalarına bırakılması, anayasal yorumun fiilen özelleştirilmesi riskini doğurur</w:t>
      </w:r>
      <w:r w:rsidR="00D11318">
        <w:rPr>
          <w:rStyle w:val="DipnotBavurusu"/>
        </w:rPr>
        <w:footnoteReference w:id="47"/>
      </w:r>
      <w:r w:rsidR="00D11318">
        <w:t>.</w:t>
      </w:r>
    </w:p>
    <w:p w14:paraId="1546444B" w14:textId="45D97623" w:rsidR="00FC574D" w:rsidRPr="00FC574D" w:rsidRDefault="00FC574D" w:rsidP="00FC574D">
      <w:pPr>
        <w:spacing w:after="120"/>
        <w:ind w:firstLine="566"/>
        <w:jc w:val="both"/>
      </w:pPr>
      <w:r w:rsidRPr="00FC574D">
        <w:t xml:space="preserve">Benzer biçimde bildirim, gerekçelendirme, insan incelemesi ve itiraz yollarının bulunması da tek başına etkili bir hak korumasını garanti etmez. Bu mekanizmalar, maddi ve yapısal denetimle desteklenmediklerinde, platform iktidarını sınırlamak yerine ona hukuk devleti görünümü kazandırabilir. Usulün biçimsel uyuma, kontrol listelerine ve standart denetim raporlarına indirgenmesi, ayrımcılık, çoğulculuk, güç yoğunlaşması ve eşit siyasal katılım gibi maddi sorunları görünmez kılabilir. Bu nedenle usulî anayasacılık, </w:t>
      </w:r>
      <w:r w:rsidR="00F35D01">
        <w:t>“</w:t>
      </w:r>
      <w:r w:rsidRPr="00FC574D">
        <w:t>usulî fetişizm</w:t>
      </w:r>
      <w:r w:rsidR="00F35D01">
        <w:t>”</w:t>
      </w:r>
      <w:r w:rsidRPr="00FC574D">
        <w:t xml:space="preserve"> riskine karşı maddi hak güvenceleriyle tamamlanmalıdır</w:t>
      </w:r>
      <w:r w:rsidR="00D11318">
        <w:t>.</w:t>
      </w:r>
    </w:p>
    <w:p w14:paraId="43B69F54" w14:textId="0CE0A2DF" w:rsidR="00FC574D" w:rsidRPr="00FC574D" w:rsidRDefault="00FC574D" w:rsidP="00FC574D">
      <w:pPr>
        <w:spacing w:after="120"/>
        <w:ind w:firstLine="566"/>
        <w:jc w:val="both"/>
      </w:pPr>
      <w:r w:rsidRPr="00FC574D">
        <w:t xml:space="preserve">Hakların tasarım yoluyla korunması ile dijital usulî güvenceler bu bakımdan gerekli, fakat yeterli olmayan iki unsurdur. Tasarım yaklaşımı demokratik ve yargısal denetime; usulî güvenceler ise ifade özgürlüğü, eşitlik, insan onuru, mahremiyet ve çoğulculuk gibi maddi anayasal ölçütlere bağlanmalıdır. Anlamlı insan incelemesi de otomatik kararın yalnızca biçimsel olarak onaylanmasını değil, bağımsız biçimde değerlendirilebilmesini, değiştirilebilmesini ve gerekçelerinin yeniden incelenebilmesini gerektirir. Platformlar yalnızca kod yoluyla değil, kodu, </w:t>
      </w:r>
      <w:r w:rsidR="00D11318">
        <w:t>onu</w:t>
      </w:r>
      <w:r w:rsidRPr="00FC574D">
        <w:t xml:space="preserve"> üreten iktidarı ve kodun kamusal sonuçlarını denetleyen kurumlar aracılığıyla </w:t>
      </w:r>
      <w:r w:rsidR="00D11318">
        <w:t>düzenlenebilir</w:t>
      </w:r>
      <w:r w:rsidRPr="00FC574D">
        <w:t>.</w:t>
      </w:r>
    </w:p>
    <w:p w14:paraId="41C320AA" w14:textId="13A3C175" w:rsidR="00AE0B75" w:rsidRPr="00AE0B75" w:rsidRDefault="00AE0B75" w:rsidP="00AE0B75">
      <w:pPr>
        <w:spacing w:after="120"/>
        <w:ind w:firstLine="566"/>
        <w:jc w:val="both"/>
      </w:pPr>
      <w:r w:rsidRPr="00AE0B75">
        <w:t xml:space="preserve">Sonuç olarak amaç, kamusal söylemin içeriğini anayasallaştırmak veya dijital kamusal alanı devlete teslim etmek değildir. Amaç, yurttaşların bilgiye erişme, kanaat oluşturma, görüşlerini görünür kılma ve siyasal tartışmaya etkili biçimde katılma koşullarının, hukuki ve usulî güvencelerden bağımsız olarak hiçbir aktörün </w:t>
      </w:r>
      <w:r>
        <w:t>-</w:t>
      </w:r>
      <w:r w:rsidRPr="00AE0B75">
        <w:t>ister platform ister devlet olsun</w:t>
      </w:r>
      <w:r>
        <w:t xml:space="preserve">- </w:t>
      </w:r>
      <w:r w:rsidRPr="00AE0B75">
        <w:t>tekeline bırakılmamasıdır. Devletin ötesine uzanan usulî anayasacılık, devleti kamusal söylemin hakemine dönüştürmeden</w:t>
      </w:r>
      <w:r>
        <w:t xml:space="preserve">, </w:t>
      </w:r>
      <w:r w:rsidRPr="00AE0B75">
        <w:t>platform iktidarını kamu hukuku güvencelerine bağlamanın bir yolunu sunmaktadır.</w:t>
      </w:r>
    </w:p>
    <w:p w14:paraId="75C8F88A" w14:textId="5AEB949C" w:rsidR="00AE0B75" w:rsidRPr="00AE0B75" w:rsidRDefault="00AE0B75" w:rsidP="00D11318">
      <w:pPr>
        <w:spacing w:after="120"/>
        <w:ind w:firstLine="566"/>
        <w:jc w:val="both"/>
      </w:pPr>
      <w:r w:rsidRPr="00AE0B75">
        <w:lastRenderedPageBreak/>
        <w:t>Bu yaklaşımın vaadi</w:t>
      </w:r>
      <w:r w:rsidR="00D11318">
        <w:t xml:space="preserve"> </w:t>
      </w:r>
      <w:r w:rsidR="00D11318" w:rsidRPr="00AE0B75">
        <w:t>mütevazı</w:t>
      </w:r>
      <w:r w:rsidR="00D11318">
        <w:t xml:space="preserve"> de olsa</w:t>
      </w:r>
      <w:r w:rsidR="00D11318" w:rsidRPr="00AE0B75">
        <w:t xml:space="preserve"> önemlidir</w:t>
      </w:r>
      <w:r w:rsidR="00D11318">
        <w:t>. S</w:t>
      </w:r>
      <w:r w:rsidRPr="00AE0B75">
        <w:t>iyasal katılmanın devlet tarafından yönetilmesi değil</w:t>
      </w:r>
      <w:r w:rsidR="00D11318">
        <w:t>;</w:t>
      </w:r>
      <w:r w:rsidRPr="00AE0B75">
        <w:t xml:space="preserve"> kamusal muhakemeyi, görünürlüğü ve katılımı mümkün kılan dijital altyapıların anayasallaştırılması</w:t>
      </w:r>
      <w:r w:rsidR="00D11318">
        <w:t xml:space="preserve"> önerilmektedir</w:t>
      </w:r>
      <w:r w:rsidRPr="00AE0B75">
        <w:t>.</w:t>
      </w:r>
      <w:r w:rsidR="00D11318" w:rsidRPr="00D11318">
        <w:t xml:space="preserve"> </w:t>
      </w:r>
      <w:r w:rsidR="00D11318">
        <w:t>B</w:t>
      </w:r>
      <w:r w:rsidRPr="00AE0B75">
        <w:t>u anayasallaştırma, temel hakların teknik tasarıma yerleştirilmesiyle başlar; ancak tasarımın kendisi demokratik, maddi ve yargısal denetime tâbi tutulmadıkça tamamlanmış sayılamaz.</w:t>
      </w:r>
    </w:p>
    <w:p w14:paraId="26BBE4AF" w14:textId="77777777" w:rsidR="00224B8B" w:rsidRDefault="00224B8B" w:rsidP="00224B8B">
      <w:pPr>
        <w:spacing w:before="280" w:after="160"/>
      </w:pPr>
      <w:r>
        <w:rPr>
          <w:b/>
          <w:sz w:val="28"/>
        </w:rPr>
        <w:t>KAYNAKÇA</w:t>
      </w:r>
    </w:p>
    <w:p w14:paraId="1140C65F" w14:textId="77777777" w:rsidR="00224B8B" w:rsidRDefault="00224B8B" w:rsidP="00224B8B">
      <w:pPr>
        <w:spacing w:before="280" w:after="160"/>
      </w:pPr>
      <w:r>
        <w:rPr>
          <w:b/>
          <w:sz w:val="26"/>
        </w:rPr>
        <w:t>I. Kitaplar, Makaleler ve Tezler</w:t>
      </w:r>
    </w:p>
    <w:p w14:paraId="7D06F835" w14:textId="77777777" w:rsidR="00224B8B" w:rsidRDefault="00224B8B" w:rsidP="00224B8B">
      <w:pPr>
        <w:spacing w:after="120"/>
        <w:ind w:left="567" w:hanging="567"/>
        <w:jc w:val="both"/>
      </w:pPr>
      <w:r>
        <w:t xml:space="preserve">Balkin, Jack M. “Free Speech in the Algorithmic Society: Big Data, Private Governance, and New School Speech Regulation.” </w:t>
      </w:r>
      <w:r>
        <w:rPr>
          <w:i/>
        </w:rPr>
        <w:t>U.C. Davis Law Review</w:t>
      </w:r>
      <w:r>
        <w:t xml:space="preserve"> 51 (2018): 1149–1210.</w:t>
      </w:r>
    </w:p>
    <w:p w14:paraId="0F6D1752" w14:textId="77777777" w:rsidR="00224B8B" w:rsidRDefault="00224B8B" w:rsidP="00224B8B">
      <w:pPr>
        <w:spacing w:after="120"/>
        <w:ind w:left="567" w:hanging="567"/>
        <w:jc w:val="both"/>
      </w:pPr>
      <w:r>
        <w:t xml:space="preserve">———. “Free Speech Is a Triangle.” </w:t>
      </w:r>
      <w:r>
        <w:rPr>
          <w:i/>
        </w:rPr>
        <w:t>Columbia Law Review</w:t>
      </w:r>
      <w:r>
        <w:t xml:space="preserve"> 118 (2018): 2011–2056.</w:t>
      </w:r>
    </w:p>
    <w:p w14:paraId="67246740" w14:textId="77777777" w:rsidR="00224B8B" w:rsidRDefault="00224B8B" w:rsidP="00224B8B">
      <w:pPr>
        <w:spacing w:after="120"/>
        <w:ind w:left="567" w:hanging="567"/>
        <w:jc w:val="both"/>
      </w:pPr>
      <w:r>
        <w:t xml:space="preserve">———. “Old-School/New-School Speech Regulation.” </w:t>
      </w:r>
      <w:r>
        <w:rPr>
          <w:i/>
        </w:rPr>
        <w:t>Harvard Law Review</w:t>
      </w:r>
      <w:r>
        <w:t xml:space="preserve"> 127, no. 8 (2014): 2296–2342.</w:t>
      </w:r>
    </w:p>
    <w:p w14:paraId="7A99E082" w14:textId="77777777" w:rsidR="00224B8B" w:rsidRDefault="00224B8B" w:rsidP="00224B8B">
      <w:pPr>
        <w:spacing w:after="120"/>
        <w:ind w:left="567" w:hanging="567"/>
        <w:jc w:val="both"/>
      </w:pPr>
      <w:r>
        <w:t xml:space="preserve">———. “The Three Laws of Robotics in the Age of Big Data.” </w:t>
      </w:r>
      <w:r>
        <w:rPr>
          <w:i/>
        </w:rPr>
        <w:t>Ohio State Law Journal</w:t>
      </w:r>
      <w:r>
        <w:t xml:space="preserve"> 78 (2017): 1217–1241.</w:t>
      </w:r>
    </w:p>
    <w:p w14:paraId="7C46C865" w14:textId="77777777" w:rsidR="00224B8B" w:rsidRDefault="00224B8B" w:rsidP="00224B8B">
      <w:pPr>
        <w:spacing w:after="120"/>
        <w:ind w:left="567" w:hanging="567"/>
        <w:jc w:val="both"/>
      </w:pPr>
      <w:r>
        <w:t xml:space="preserve">Baudrillard, Jean. </w:t>
      </w:r>
      <w:r>
        <w:rPr>
          <w:i/>
        </w:rPr>
        <w:t>Simulacra and Simulation</w:t>
      </w:r>
      <w:r>
        <w:t>. Çeviren Sheila Faria Glaser. Ann Arbor: University of Michigan Press, 1994.</w:t>
      </w:r>
    </w:p>
    <w:p w14:paraId="4282BD8F" w14:textId="77777777" w:rsidR="00224B8B" w:rsidRDefault="00224B8B" w:rsidP="00224B8B">
      <w:pPr>
        <w:spacing w:after="120"/>
        <w:ind w:left="567" w:hanging="567"/>
        <w:jc w:val="both"/>
      </w:pPr>
      <w:r>
        <w:t xml:space="preserve">Belli, Luca. “Structural Power as a Critical Element of Social Media Platforms’ Private Sovereignty.” </w:t>
      </w:r>
      <w:r>
        <w:rPr>
          <w:i/>
        </w:rPr>
        <w:t>Constitutionalising Social Media</w:t>
      </w:r>
      <w:r>
        <w:t xml:space="preserve"> içinde, editörler Edoardo Celeste, Amélie Heldt ve Clara Iglesias Keller, 81–101. Oxford: Hart Publishing, 2022.</w:t>
      </w:r>
    </w:p>
    <w:p w14:paraId="2CAEDBF6" w14:textId="77777777" w:rsidR="00224B8B" w:rsidRDefault="00224B8B" w:rsidP="00224B8B">
      <w:pPr>
        <w:spacing w:after="120"/>
        <w:ind w:left="567" w:hanging="567"/>
        <w:jc w:val="both"/>
      </w:pPr>
      <w:r>
        <w:t xml:space="preserve">Berman, Paul Schiff. “Cyberspace and the State Action Debate: The Cultural Value of Applying Constitutional Norms to ‘Private’ Regulation.” </w:t>
      </w:r>
      <w:r>
        <w:rPr>
          <w:i/>
        </w:rPr>
        <w:t>University of Colorado Law Review</w:t>
      </w:r>
      <w:r>
        <w:t xml:space="preserve"> 71 (2000): 1263–1310.</w:t>
      </w:r>
    </w:p>
    <w:p w14:paraId="4B392B02" w14:textId="77777777" w:rsidR="00224B8B" w:rsidRDefault="00224B8B" w:rsidP="00224B8B">
      <w:pPr>
        <w:spacing w:after="120"/>
        <w:ind w:left="567" w:hanging="567"/>
        <w:jc w:val="both"/>
      </w:pPr>
      <w:r>
        <w:t xml:space="preserve">Boyar, Oya. “Devletin Pozitif Yükümlülükleri ve Dolaylı Yatay Etki.” </w:t>
      </w:r>
      <w:r>
        <w:rPr>
          <w:i/>
        </w:rPr>
        <w:t>İnsan Hakları Avrupa Sözleşmesi ve Anayasa</w:t>
      </w:r>
      <w:r>
        <w:t xml:space="preserve"> içinde, editör Sibel İnceoğlu, 53–80. Ankara: Avrupa Konseyi, 2013.</w:t>
      </w:r>
    </w:p>
    <w:p w14:paraId="6B33BFDE" w14:textId="77777777" w:rsidR="00224B8B" w:rsidRDefault="00224B8B" w:rsidP="00224B8B">
      <w:pPr>
        <w:spacing w:after="120"/>
        <w:ind w:left="567" w:hanging="567"/>
        <w:jc w:val="both"/>
      </w:pPr>
      <w:r>
        <w:t xml:space="preserve">Cohen, Julie E. </w:t>
      </w:r>
      <w:r>
        <w:rPr>
          <w:i/>
        </w:rPr>
        <w:t>Between Truth and Power: The Legal Constructions of Informational Capitalism</w:t>
      </w:r>
      <w:r>
        <w:t>. New York: Oxford University Press, 2019.</w:t>
      </w:r>
    </w:p>
    <w:p w14:paraId="3B54A72D" w14:textId="77777777" w:rsidR="00224B8B" w:rsidRDefault="00224B8B" w:rsidP="00224B8B">
      <w:pPr>
        <w:spacing w:after="120"/>
        <w:ind w:left="567" w:hanging="567"/>
        <w:jc w:val="both"/>
      </w:pPr>
      <w:r>
        <w:t xml:space="preserve">———. “Law for the Platform Economy.” </w:t>
      </w:r>
      <w:r>
        <w:rPr>
          <w:i/>
        </w:rPr>
        <w:t>U.C. Davis Law Review</w:t>
      </w:r>
      <w:r>
        <w:t xml:space="preserve"> 51 (2017): 133–204.</w:t>
      </w:r>
    </w:p>
    <w:p w14:paraId="399E492F" w14:textId="77777777" w:rsidR="00224B8B" w:rsidRDefault="00224B8B" w:rsidP="00224B8B">
      <w:pPr>
        <w:spacing w:after="120"/>
        <w:ind w:left="567" w:hanging="567"/>
        <w:jc w:val="both"/>
      </w:pPr>
      <w:r>
        <w:t xml:space="preserve">De Gregorio, Giovanni. </w:t>
      </w:r>
      <w:r>
        <w:rPr>
          <w:i/>
        </w:rPr>
        <w:t>Digital Constitutionalism in Europe: Reframing Rights and Powers in the Algorithmic Society</w:t>
      </w:r>
      <w:r>
        <w:t>. Cambridge: Cambridge University Press, 2022.</w:t>
      </w:r>
    </w:p>
    <w:p w14:paraId="086A4FC4" w14:textId="77777777" w:rsidR="00224B8B" w:rsidRDefault="00224B8B" w:rsidP="00224B8B">
      <w:pPr>
        <w:spacing w:after="120"/>
        <w:ind w:left="567" w:hanging="567"/>
        <w:jc w:val="both"/>
      </w:pPr>
      <w:r>
        <w:t xml:space="preserve">———. “From Constitutional Freedoms to the Power of the Platforms: Protecting Fundamental Rights Online in the Algorithmic Society.” </w:t>
      </w:r>
      <w:r>
        <w:rPr>
          <w:i/>
        </w:rPr>
        <w:t>European Journal of Legal Studies</w:t>
      </w:r>
      <w:r>
        <w:t xml:space="preserve"> 11, no. 2 (2019): 65–103.</w:t>
      </w:r>
    </w:p>
    <w:p w14:paraId="7182D4D0" w14:textId="77777777" w:rsidR="00224B8B" w:rsidRDefault="00224B8B" w:rsidP="00224B8B">
      <w:pPr>
        <w:spacing w:after="120"/>
        <w:ind w:left="567" w:hanging="567"/>
        <w:jc w:val="both"/>
      </w:pPr>
      <w:r>
        <w:t xml:space="preserve">Dönmezkuş, Dilara. </w:t>
      </w:r>
      <w:r>
        <w:rPr>
          <w:i/>
        </w:rPr>
        <w:t>Dijital Anayasacılık: Algoritmik Toplumda Aktörler ve Temel Haklar</w:t>
      </w:r>
      <w:r>
        <w:t>. Doktora tezi, Ankara Üniversitesi Sosyal Bilimler Enstitüsü, 2025.</w:t>
      </w:r>
    </w:p>
    <w:p w14:paraId="432B1BC2" w14:textId="77777777" w:rsidR="00224B8B" w:rsidRDefault="00224B8B" w:rsidP="00224B8B">
      <w:pPr>
        <w:spacing w:after="120"/>
        <w:ind w:left="567" w:hanging="567"/>
        <w:jc w:val="both"/>
      </w:pPr>
      <w:r>
        <w:t xml:space="preserve">———. </w:t>
      </w:r>
      <w:r>
        <w:rPr>
          <w:i/>
        </w:rPr>
        <w:t>Temel Hakların Yatay Etkisi ve İfade Özgürlüğü</w:t>
      </w:r>
      <w:r>
        <w:t>. İstanbul: On İki Levha Yayıncılık, 2021.</w:t>
      </w:r>
    </w:p>
    <w:p w14:paraId="67D4C667" w14:textId="77777777" w:rsidR="00224B8B" w:rsidRDefault="00224B8B" w:rsidP="00224B8B">
      <w:pPr>
        <w:spacing w:after="120"/>
        <w:ind w:left="567" w:hanging="567"/>
        <w:jc w:val="both"/>
      </w:pPr>
      <w:r>
        <w:t xml:space="preserve">Ergül, Ozan. “Temel Hak ve Özgürlüklerin Yatay Etkisi Karşısında Çalışanı Ücretini Gizli Tutmakla Yükümlü Kılmanın Hukuksal Temelsizliği Üzerine.” </w:t>
      </w:r>
      <w:r>
        <w:rPr>
          <w:i/>
        </w:rPr>
        <w:t>Prof. Dr. Erdal Onar’a Armağan</w:t>
      </w:r>
      <w:r>
        <w:t>, c. 1 içinde, 435–487. Ankara: Ankara Üniversitesi Yayınları, 2013.</w:t>
      </w:r>
    </w:p>
    <w:p w14:paraId="68CC50F5" w14:textId="77777777" w:rsidR="00224B8B" w:rsidRDefault="00224B8B" w:rsidP="00224B8B">
      <w:pPr>
        <w:spacing w:after="120"/>
        <w:ind w:left="567" w:hanging="567"/>
        <w:jc w:val="both"/>
      </w:pPr>
      <w:r>
        <w:lastRenderedPageBreak/>
        <w:t xml:space="preserve">Frosio, Giancarlo ve Christophe Geiger. “Taking Fundamental Rights Seriously in the Digital Services Act’s Platform Liability Regime.” </w:t>
      </w:r>
      <w:r>
        <w:rPr>
          <w:i/>
        </w:rPr>
        <w:t>European Law Journal</w:t>
      </w:r>
      <w:r>
        <w:t xml:space="preserve"> 29, no. 1–2 (2023): 31–77.</w:t>
      </w:r>
    </w:p>
    <w:p w14:paraId="014AA44B" w14:textId="77777777" w:rsidR="00224B8B" w:rsidRDefault="00224B8B" w:rsidP="00224B8B">
      <w:pPr>
        <w:spacing w:after="120"/>
        <w:ind w:left="567" w:hanging="567"/>
        <w:jc w:val="both"/>
      </w:pPr>
      <w:r>
        <w:t xml:space="preserve">Gardbaum, Stephen. “The ‘Horizontal Effect’ of Constitutional Rights.” </w:t>
      </w:r>
      <w:r>
        <w:rPr>
          <w:i/>
        </w:rPr>
        <w:t>Michigan Law Review</w:t>
      </w:r>
      <w:r>
        <w:t xml:space="preserve"> 102 (2003): 387–459.</w:t>
      </w:r>
    </w:p>
    <w:p w14:paraId="278D8A32" w14:textId="77777777" w:rsidR="00224B8B" w:rsidRDefault="00224B8B" w:rsidP="00224B8B">
      <w:pPr>
        <w:spacing w:after="120"/>
        <w:ind w:left="567" w:hanging="567"/>
        <w:jc w:val="both"/>
      </w:pPr>
      <w:r>
        <w:t xml:space="preserve">Han, Byung-Chul. </w:t>
      </w:r>
      <w:r>
        <w:rPr>
          <w:i/>
        </w:rPr>
        <w:t>Şeffaflık Toplumu</w:t>
      </w:r>
      <w:r>
        <w:t>. Çeviren Haluk Barışcan. 10. basım. İstanbul: Metis Yayınları, 2025.</w:t>
      </w:r>
    </w:p>
    <w:p w14:paraId="7BFB5570" w14:textId="77777777" w:rsidR="00224B8B" w:rsidRDefault="00224B8B" w:rsidP="00224B8B">
      <w:pPr>
        <w:spacing w:after="120"/>
        <w:ind w:left="567" w:hanging="567"/>
        <w:jc w:val="both"/>
      </w:pPr>
      <w:r>
        <w:t xml:space="preserve">Hildebrandt, Mireille. </w:t>
      </w:r>
      <w:r>
        <w:rPr>
          <w:i/>
        </w:rPr>
        <w:t>Law for Computer Scientists and Other Folk</w:t>
      </w:r>
      <w:r>
        <w:t>. Oxford: Oxford University Press, 2020.</w:t>
      </w:r>
    </w:p>
    <w:p w14:paraId="740994A5" w14:textId="77777777" w:rsidR="00224B8B" w:rsidRDefault="00224B8B" w:rsidP="00224B8B">
      <w:pPr>
        <w:spacing w:after="120"/>
        <w:ind w:left="567" w:hanging="567"/>
        <w:jc w:val="both"/>
      </w:pPr>
      <w:r>
        <w:t xml:space="preserve">———. “‘Legal by Design’ or ‘Legal Protection by Design’?” </w:t>
      </w:r>
      <w:r>
        <w:rPr>
          <w:i/>
        </w:rPr>
        <w:t>Law for Computer Scientists and Other Folk</w:t>
      </w:r>
      <w:r>
        <w:t xml:space="preserve"> içinde, 251–280. Oxford: Oxford University Press, 2020.</w:t>
      </w:r>
    </w:p>
    <w:p w14:paraId="2E987634" w14:textId="77777777" w:rsidR="00224B8B" w:rsidRDefault="00224B8B" w:rsidP="00224B8B">
      <w:pPr>
        <w:spacing w:after="120"/>
        <w:ind w:left="567" w:hanging="567"/>
        <w:jc w:val="both"/>
      </w:pPr>
      <w:r>
        <w:t xml:space="preserve">Isin, Engin ve Evelyn Ruppert. </w:t>
      </w:r>
      <w:r>
        <w:rPr>
          <w:i/>
        </w:rPr>
        <w:t>Being Digital Citizens</w:t>
      </w:r>
      <w:r>
        <w:t>. London: Rowman and Littlefield, 2015.</w:t>
      </w:r>
    </w:p>
    <w:p w14:paraId="29FB70E6" w14:textId="77777777" w:rsidR="00224B8B" w:rsidRDefault="00224B8B" w:rsidP="00224B8B">
      <w:pPr>
        <w:spacing w:after="120"/>
        <w:ind w:left="567" w:hanging="567"/>
        <w:jc w:val="both"/>
      </w:pPr>
      <w:r>
        <w:t xml:space="preserve">Işık, Alper. </w:t>
      </w:r>
      <w:r>
        <w:rPr>
          <w:i/>
        </w:rPr>
        <w:t>İnternet Aktörleri ve Egemenliğin Değişen Boyutları</w:t>
      </w:r>
      <w:r>
        <w:t>. İstanbul: On İki Levha Yayıncılık, 2023.</w:t>
      </w:r>
    </w:p>
    <w:p w14:paraId="2E26F063" w14:textId="77777777" w:rsidR="00224B8B" w:rsidRDefault="00224B8B" w:rsidP="00224B8B">
      <w:pPr>
        <w:spacing w:after="120"/>
        <w:ind w:left="567" w:hanging="567"/>
        <w:jc w:val="both"/>
      </w:pPr>
      <w:r>
        <w:t xml:space="preserve">Kama Işık, Sezen. “Klasik Anayasacılıktan Dijital Anayasacılığa: Anayasa Hukukunun Dönüşümü.” </w:t>
      </w:r>
      <w:r>
        <w:rPr>
          <w:i/>
        </w:rPr>
        <w:t>Uluslararası Bilişim ve Teknoloji Hukuku Sempozyumu Tebliğler Kitabı</w:t>
      </w:r>
      <w:r>
        <w:t xml:space="preserve"> içinde. Ankara: Adalet Yayınevi, 2021.</w:t>
      </w:r>
    </w:p>
    <w:p w14:paraId="68F0F4A1" w14:textId="045C7DD2" w:rsidR="00224B8B" w:rsidRDefault="00224B8B" w:rsidP="00224B8B">
      <w:pPr>
        <w:spacing w:after="120"/>
        <w:ind w:left="567" w:hanging="567"/>
        <w:jc w:val="both"/>
      </w:pPr>
      <w:r>
        <w:t>Kaplan Arık, Aslıhan.</w:t>
      </w:r>
      <w:r w:rsidRPr="00224B8B">
        <w:t xml:space="preserve"> “Dijital Anayasacılık Perspektifinden Platformların Demokratik Meşruiyet ve Denetim Sorunu.” </w:t>
      </w:r>
      <w:r w:rsidRPr="00224B8B">
        <w:rPr>
          <w:i/>
          <w:iCs/>
        </w:rPr>
        <w:t>Adalet Dergisi</w:t>
      </w:r>
      <w:r w:rsidRPr="00224B8B">
        <w:t>, no. 76 (Mart 2026): 697–999.</w:t>
      </w:r>
    </w:p>
    <w:p w14:paraId="26E0CEB9" w14:textId="77777777" w:rsidR="00224B8B" w:rsidRDefault="00224B8B" w:rsidP="00224B8B">
      <w:pPr>
        <w:spacing w:after="120"/>
        <w:ind w:left="567" w:hanging="567"/>
        <w:jc w:val="both"/>
      </w:pPr>
      <w:r>
        <w:t xml:space="preserve">Lessig, Lawrence. </w:t>
      </w:r>
      <w:r>
        <w:rPr>
          <w:i/>
        </w:rPr>
        <w:t>Code: Version 2.0</w:t>
      </w:r>
      <w:r>
        <w:t>. New York: Basic Books, 2006.</w:t>
      </w:r>
    </w:p>
    <w:p w14:paraId="196750FF" w14:textId="77777777" w:rsidR="00224B8B" w:rsidRDefault="00224B8B" w:rsidP="00224B8B">
      <w:pPr>
        <w:spacing w:after="120"/>
        <w:ind w:left="567" w:hanging="567"/>
        <w:jc w:val="both"/>
      </w:pPr>
      <w:r>
        <w:t xml:space="preserve">Luhmann, Niklas. </w:t>
      </w:r>
      <w:r>
        <w:rPr>
          <w:i/>
        </w:rPr>
        <w:t>Social Systems</w:t>
      </w:r>
      <w:r>
        <w:t xml:space="preserve">. Çevirenler John Bednarz Jr. </w:t>
      </w:r>
      <w:proofErr w:type="gramStart"/>
      <w:r>
        <w:t>ve</w:t>
      </w:r>
      <w:proofErr w:type="gramEnd"/>
      <w:r>
        <w:t xml:space="preserve"> Dirk Baecker. Stanford: Stanford University Press, 1995.</w:t>
      </w:r>
    </w:p>
    <w:p w14:paraId="2B9B0C8C" w14:textId="77777777" w:rsidR="00224B8B" w:rsidRDefault="00224B8B" w:rsidP="00224B8B">
      <w:pPr>
        <w:spacing w:after="120"/>
        <w:ind w:left="567" w:hanging="567"/>
        <w:jc w:val="both"/>
      </w:pPr>
      <w:r>
        <w:t xml:space="preserve">———. </w:t>
      </w:r>
      <w:r>
        <w:rPr>
          <w:i/>
        </w:rPr>
        <w:t>Theory of Society</w:t>
      </w:r>
      <w:r>
        <w:t>. C. 2. Çeviren Rhodes Barrett. Stanford: Stanford University Press, 2013.</w:t>
      </w:r>
    </w:p>
    <w:p w14:paraId="763D1C64" w14:textId="77777777" w:rsidR="00224B8B" w:rsidRDefault="00224B8B" w:rsidP="00224B8B">
      <w:pPr>
        <w:spacing w:after="120"/>
        <w:ind w:left="567" w:hanging="567"/>
        <w:jc w:val="both"/>
      </w:pPr>
      <w:r>
        <w:t xml:space="preserve">Mossberger, Karen, Caroline J. Tolbert ve Ramona S. McNeal. </w:t>
      </w:r>
      <w:r>
        <w:rPr>
          <w:i/>
        </w:rPr>
        <w:t>Digital Citizenship: The Internet, Society, and Participation</w:t>
      </w:r>
      <w:r>
        <w:t>. Cambridge, MA: MIT Press, 2008.</w:t>
      </w:r>
    </w:p>
    <w:p w14:paraId="217717C0" w14:textId="77777777" w:rsidR="00224B8B" w:rsidRDefault="00224B8B" w:rsidP="00224B8B">
      <w:pPr>
        <w:spacing w:after="120"/>
        <w:ind w:left="567" w:hanging="567"/>
        <w:jc w:val="both"/>
      </w:pPr>
      <w:r>
        <w:t xml:space="preserve">Mostert, Frederick. “‘Digital Due Process’: A Need for Online Justice.” </w:t>
      </w:r>
      <w:r>
        <w:rPr>
          <w:i/>
        </w:rPr>
        <w:t>Journal of Intellectual Property Law and Practice</w:t>
      </w:r>
      <w:r>
        <w:t xml:space="preserve"> 15, no. 5 (2020): 378–389.</w:t>
      </w:r>
    </w:p>
    <w:p w14:paraId="70D6D81F" w14:textId="77777777" w:rsidR="00224B8B" w:rsidRDefault="00224B8B" w:rsidP="00224B8B">
      <w:pPr>
        <w:spacing w:after="120"/>
        <w:ind w:left="567" w:hanging="567"/>
        <w:jc w:val="both"/>
      </w:pPr>
      <w:r>
        <w:t xml:space="preserve">Muir Watt, Horatia. “Conflicts of Laws Unbounded: The Case for a Legal-Pluralist Revival.” </w:t>
      </w:r>
      <w:r>
        <w:rPr>
          <w:i/>
        </w:rPr>
        <w:t>Transnational Legal Theory</w:t>
      </w:r>
      <w:r>
        <w:t xml:space="preserve"> 7, no. 3 (2016): 313–353.</w:t>
      </w:r>
    </w:p>
    <w:p w14:paraId="7D2E0004" w14:textId="77777777" w:rsidR="00224B8B" w:rsidRDefault="00224B8B" w:rsidP="00224B8B">
      <w:pPr>
        <w:spacing w:after="120"/>
        <w:ind w:left="567" w:hanging="567"/>
        <w:jc w:val="both"/>
      </w:pPr>
      <w:r>
        <w:t xml:space="preserve">Ölçek, Feyza. “Dijitalleşme ve İfade Özgürlüğü: İfadeye Yeni Bir Sınır mı?” </w:t>
      </w:r>
      <w:r>
        <w:rPr>
          <w:i/>
        </w:rPr>
        <w:t>Ankara Hacı Bayram Veli Üniversitesi Hukuk Fakültesi Dergisi</w:t>
      </w:r>
      <w:r>
        <w:t xml:space="preserve"> 30, no. 2 (2026): 1095–1160.</w:t>
      </w:r>
    </w:p>
    <w:p w14:paraId="68C382E0" w14:textId="77777777" w:rsidR="00224B8B" w:rsidRDefault="00224B8B" w:rsidP="00224B8B">
      <w:pPr>
        <w:spacing w:after="120"/>
        <w:ind w:left="567" w:hanging="567"/>
        <w:jc w:val="both"/>
      </w:pPr>
      <w:r>
        <w:t xml:space="preserve">Papakonstantinou, Vagelis ve Paul De Hert. </w:t>
      </w:r>
      <w:r>
        <w:rPr>
          <w:i/>
        </w:rPr>
        <w:t>The Regulation of Digital Technologies in the EU: Act-ification, GDPR Mimesis and EU Law Brutality at Play</w:t>
      </w:r>
      <w:r>
        <w:t>. London: Routledge, 2024.</w:t>
      </w:r>
    </w:p>
    <w:p w14:paraId="2F80BB18" w14:textId="77777777" w:rsidR="00224B8B" w:rsidRDefault="00224B8B" w:rsidP="00224B8B">
      <w:pPr>
        <w:spacing w:after="120"/>
        <w:ind w:left="567" w:hanging="567"/>
        <w:jc w:val="both"/>
      </w:pPr>
      <w:r>
        <w:t xml:space="preserve">———. “The Regulation of Digital Technologies in the EU: The Law-Making Phenomena of ‘Act-ification’, ‘GDPR Mimesis’ and ‘EU Law Brutality’.” </w:t>
      </w:r>
      <w:r>
        <w:rPr>
          <w:i/>
        </w:rPr>
        <w:t>Technology and Regulation</w:t>
      </w:r>
      <w:r>
        <w:t xml:space="preserve"> 2022 (2022): 48–60.</w:t>
      </w:r>
    </w:p>
    <w:p w14:paraId="78965AE3" w14:textId="77777777" w:rsidR="00224B8B" w:rsidRDefault="00224B8B" w:rsidP="00224B8B">
      <w:pPr>
        <w:spacing w:after="120"/>
        <w:ind w:left="567" w:hanging="567"/>
        <w:jc w:val="both"/>
      </w:pPr>
      <w:r>
        <w:t xml:space="preserve">Pasquale, Frank. </w:t>
      </w:r>
      <w:r>
        <w:rPr>
          <w:i/>
        </w:rPr>
        <w:t>The Black Box Society: The Secret Algorithms That Control Money and Information</w:t>
      </w:r>
      <w:r>
        <w:t>. Cambridge, MA: Harvard University Press, 2015.</w:t>
      </w:r>
    </w:p>
    <w:p w14:paraId="3B29A822" w14:textId="77777777" w:rsidR="00224B8B" w:rsidRDefault="00224B8B" w:rsidP="00224B8B">
      <w:pPr>
        <w:spacing w:after="120"/>
        <w:ind w:left="567" w:hanging="567"/>
        <w:jc w:val="both"/>
      </w:pPr>
      <w:r>
        <w:t xml:space="preserve">Platon. </w:t>
      </w:r>
      <w:r>
        <w:rPr>
          <w:i/>
        </w:rPr>
        <w:t>Devlet</w:t>
      </w:r>
      <w:r>
        <w:t>. Çevirenler Sabahattin Eyüboğlu ve M. Ali Cimcoz. İstanbul: Türkiye İş Bankası Kültür Yayınları, 2023.</w:t>
      </w:r>
    </w:p>
    <w:p w14:paraId="4823E8F5" w14:textId="77777777" w:rsidR="00224B8B" w:rsidRDefault="00224B8B" w:rsidP="00224B8B">
      <w:pPr>
        <w:spacing w:after="120"/>
        <w:ind w:left="567" w:hanging="567"/>
        <w:jc w:val="both"/>
      </w:pPr>
      <w:r>
        <w:lastRenderedPageBreak/>
        <w:t xml:space="preserve">Pollicino, Oreste. “The Quadrangular Shape of the Geometry of Digital Power(s) and the Move towards a Procedural Digital Constitutionalism.” </w:t>
      </w:r>
      <w:r>
        <w:rPr>
          <w:i/>
        </w:rPr>
        <w:t>European Law Journal</w:t>
      </w:r>
      <w:r>
        <w:t xml:space="preserve"> 29, no. 1–2 (2023): 10–30.</w:t>
      </w:r>
    </w:p>
    <w:p w14:paraId="24ACD938" w14:textId="77777777" w:rsidR="00224B8B" w:rsidRDefault="00224B8B" w:rsidP="00224B8B">
      <w:pPr>
        <w:spacing w:after="120"/>
        <w:ind w:left="567" w:hanging="567"/>
        <w:jc w:val="both"/>
      </w:pPr>
      <w:r>
        <w:t xml:space="preserve">Reidenberg, Joel R. “Lex Informatica: The Formulation of Information Policy Rules through Technology.” </w:t>
      </w:r>
      <w:r>
        <w:rPr>
          <w:i/>
        </w:rPr>
        <w:t>Texas Law Review</w:t>
      </w:r>
      <w:r>
        <w:t xml:space="preserve"> 76 (1998): 553–593.</w:t>
      </w:r>
    </w:p>
    <w:p w14:paraId="1616077F" w14:textId="77777777" w:rsidR="00224B8B" w:rsidRDefault="00224B8B" w:rsidP="00224B8B">
      <w:pPr>
        <w:spacing w:after="120"/>
        <w:ind w:left="567" w:hanging="567"/>
        <w:jc w:val="both"/>
      </w:pPr>
      <w:r>
        <w:t xml:space="preserve">Rousseau, Jean-Jacques. </w:t>
      </w:r>
      <w:r>
        <w:rPr>
          <w:i/>
        </w:rPr>
        <w:t>Confessions</w:t>
      </w:r>
      <w:r>
        <w:t>. Çeviren Angela Scholar. Oxford: Oxford University Press, 2000.</w:t>
      </w:r>
    </w:p>
    <w:p w14:paraId="662A57EB" w14:textId="77777777" w:rsidR="00224B8B" w:rsidRDefault="00224B8B" w:rsidP="00224B8B">
      <w:pPr>
        <w:spacing w:after="120"/>
        <w:ind w:left="567" w:hanging="567"/>
        <w:jc w:val="both"/>
      </w:pPr>
      <w:r>
        <w:t xml:space="preserve">Suzor, Nicolas. “Digital Constitutionalism: Using the Rule of Law to Evaluate the Legitimacy of Governance by Platforms.” </w:t>
      </w:r>
      <w:r>
        <w:rPr>
          <w:i/>
        </w:rPr>
        <w:t>Social Media + Society</w:t>
      </w:r>
      <w:r>
        <w:t xml:space="preserve"> 4, no. 3 (2018): 1–11.</w:t>
      </w:r>
    </w:p>
    <w:p w14:paraId="017BC8D6" w14:textId="77777777" w:rsidR="00224B8B" w:rsidRDefault="00224B8B" w:rsidP="00224B8B">
      <w:pPr>
        <w:spacing w:after="120"/>
        <w:ind w:left="567" w:hanging="567"/>
        <w:jc w:val="both"/>
      </w:pPr>
      <w:r>
        <w:t xml:space="preserve">———. </w:t>
      </w:r>
      <w:r>
        <w:rPr>
          <w:i/>
        </w:rPr>
        <w:t>Lawless: The Secret Rules That Govern Our Digital Lives</w:t>
      </w:r>
      <w:r>
        <w:t>. Cambridge: Cambridge University Press, 2019.</w:t>
      </w:r>
    </w:p>
    <w:p w14:paraId="04D473E4" w14:textId="77777777" w:rsidR="00224B8B" w:rsidRDefault="00224B8B" w:rsidP="00224B8B">
      <w:pPr>
        <w:spacing w:after="120"/>
        <w:ind w:left="567" w:hanging="567"/>
        <w:jc w:val="both"/>
      </w:pPr>
      <w:r>
        <w:t>———. “The Responsibilities of Platforms: A New Constitutionalism to Promote the Legitimacy of Decentralised Governance.” Association of Internet Researchers Annual Conference, Berlin, 5–8 Ekim 2016. https://spir.aoir.org/ojs/index.php/spir/article/view/9055/pdf.</w:t>
      </w:r>
    </w:p>
    <w:p w14:paraId="656EA381" w14:textId="77777777" w:rsidR="00224B8B" w:rsidRDefault="00224B8B" w:rsidP="00224B8B">
      <w:pPr>
        <w:spacing w:after="120"/>
        <w:ind w:left="567" w:hanging="567"/>
        <w:jc w:val="both"/>
      </w:pPr>
      <w:r>
        <w:t xml:space="preserve">Teubner, Gunther. </w:t>
      </w:r>
      <w:r>
        <w:rPr>
          <w:i/>
        </w:rPr>
        <w:t>Constitutional Fragments: Societal Constitutionalism and Globalization</w:t>
      </w:r>
      <w:r>
        <w:t>. Oxford: Oxford University Press, 2012.</w:t>
      </w:r>
    </w:p>
    <w:p w14:paraId="6083819B" w14:textId="77777777" w:rsidR="00224B8B" w:rsidRDefault="00224B8B" w:rsidP="00224B8B">
      <w:pPr>
        <w:spacing w:after="120"/>
        <w:ind w:left="567" w:hanging="567"/>
        <w:jc w:val="both"/>
      </w:pPr>
      <w:r>
        <w:t xml:space="preserve">———. “Societal Constitutionalism: Alternatives to State-Centred Constitutional Theory?” </w:t>
      </w:r>
      <w:r>
        <w:rPr>
          <w:i/>
        </w:rPr>
        <w:t>Transnational Governance and Constitutionalism</w:t>
      </w:r>
      <w:r>
        <w:t xml:space="preserve"> içinde, editörler Christian Joerges, Inger-Johanne Sand ve Gunther Teubner, 3–28. Oxford: Hart Publishing, 2004.</w:t>
      </w:r>
    </w:p>
    <w:p w14:paraId="30100DEC" w14:textId="77777777" w:rsidR="00224B8B" w:rsidRDefault="00224B8B" w:rsidP="00224B8B">
      <w:pPr>
        <w:spacing w:after="120"/>
        <w:ind w:left="567" w:hanging="567"/>
        <w:jc w:val="both"/>
      </w:pPr>
      <w:r>
        <w:t xml:space="preserve">Zalnieriute, Monika. “Against Procedural Fetishism: A Call for a New Digital Constitution.” </w:t>
      </w:r>
      <w:r>
        <w:rPr>
          <w:i/>
        </w:rPr>
        <w:t>Indiana Journal of Global Legal Studies</w:t>
      </w:r>
      <w:r>
        <w:t xml:space="preserve"> 30, no. 2 (2023): 227–264.</w:t>
      </w:r>
    </w:p>
    <w:p w14:paraId="72F2DED0" w14:textId="77777777" w:rsidR="00224B8B" w:rsidRDefault="00224B8B" w:rsidP="00224B8B">
      <w:pPr>
        <w:spacing w:after="120"/>
        <w:ind w:left="567" w:hanging="567"/>
        <w:jc w:val="both"/>
      </w:pPr>
      <w:r>
        <w:t xml:space="preserve">———. “From Procedural Fetishism to Substantive Due Process in AI Governance and Digital Constitutionalism.” </w:t>
      </w:r>
      <w:r>
        <w:rPr>
          <w:i/>
        </w:rPr>
        <w:t>Artificial Intelligence and the Rule of Law</w:t>
      </w:r>
      <w:r>
        <w:t xml:space="preserve"> içinde, editör Armando Aliu, 97–129. Cham: Palgrave Macmillan, 2025.</w:t>
      </w:r>
    </w:p>
    <w:p w14:paraId="6A5AC7B9" w14:textId="77777777" w:rsidR="00224B8B" w:rsidRDefault="00224B8B" w:rsidP="00224B8B">
      <w:pPr>
        <w:spacing w:after="120"/>
        <w:ind w:left="567" w:hanging="567"/>
        <w:jc w:val="both"/>
      </w:pPr>
      <w:r>
        <w:t xml:space="preserve">Zalnieriute, Monika, Lyria Bennett Moses ve George Williams. “The Rule of Law ‘By Design’?” </w:t>
      </w:r>
      <w:r>
        <w:rPr>
          <w:i/>
        </w:rPr>
        <w:t>Tulane Law Review</w:t>
      </w:r>
      <w:r>
        <w:t xml:space="preserve"> 95, no. 5 (2021): 1063–1101.</w:t>
      </w:r>
    </w:p>
    <w:p w14:paraId="37ACEF48" w14:textId="77777777" w:rsidR="00224B8B" w:rsidRDefault="00224B8B" w:rsidP="00224B8B">
      <w:pPr>
        <w:spacing w:after="120"/>
        <w:ind w:left="567" w:hanging="567"/>
        <w:jc w:val="both"/>
      </w:pPr>
      <w:r>
        <w:t xml:space="preserve">Zuboff, Shoshana. </w:t>
      </w:r>
      <w:r>
        <w:rPr>
          <w:i/>
        </w:rPr>
        <w:t>The Age of Surveillance Capitalism: The Fight for a Human Future at the New Frontier of Power</w:t>
      </w:r>
      <w:r>
        <w:t>. New York: PublicAffairs, 2019.</w:t>
      </w:r>
    </w:p>
    <w:p w14:paraId="0064664A" w14:textId="77777777" w:rsidR="00224B8B" w:rsidRDefault="00224B8B" w:rsidP="00224B8B">
      <w:pPr>
        <w:spacing w:before="280" w:after="160"/>
      </w:pPr>
      <w:r>
        <w:rPr>
          <w:b/>
          <w:sz w:val="26"/>
        </w:rPr>
        <w:t>II. Mahkeme Kararları</w:t>
      </w:r>
    </w:p>
    <w:p w14:paraId="26B4E326" w14:textId="77777777" w:rsidR="00224B8B" w:rsidRDefault="00224B8B" w:rsidP="00224B8B">
      <w:pPr>
        <w:spacing w:before="160" w:after="80"/>
      </w:pPr>
      <w:r>
        <w:rPr>
          <w:b/>
          <w:i/>
          <w:sz w:val="22"/>
        </w:rPr>
        <w:t>Avrupa İnsan Hakları Mahkemesi</w:t>
      </w:r>
    </w:p>
    <w:p w14:paraId="047B007A" w14:textId="77777777" w:rsidR="00224B8B" w:rsidRDefault="00224B8B" w:rsidP="00224B8B">
      <w:pPr>
        <w:spacing w:after="120"/>
        <w:ind w:left="567" w:hanging="567"/>
        <w:jc w:val="both"/>
      </w:pPr>
      <w:r>
        <w:rPr>
          <w:i/>
        </w:rPr>
        <w:t>Appleby ve diğerleri v. Birleşik Krallık</w:t>
      </w:r>
      <w:r>
        <w:t>, No. 44306/98, 6 Mayıs 2003.</w:t>
      </w:r>
    </w:p>
    <w:p w14:paraId="7DCDF7BF" w14:textId="77777777" w:rsidR="00224B8B" w:rsidRDefault="00224B8B" w:rsidP="00224B8B">
      <w:pPr>
        <w:spacing w:after="120"/>
        <w:ind w:left="567" w:hanging="567"/>
        <w:jc w:val="both"/>
      </w:pPr>
      <w:r>
        <w:rPr>
          <w:i/>
        </w:rPr>
        <w:t>Dink v. Türkiye</w:t>
      </w:r>
      <w:r>
        <w:t>, No. 2668/07, 6102/08, 30079/08, 7072/09 ve 7124/09, 14 Eylül 2010.</w:t>
      </w:r>
    </w:p>
    <w:p w14:paraId="61A659C3" w14:textId="77777777" w:rsidR="00224B8B" w:rsidRDefault="00224B8B" w:rsidP="00224B8B">
      <w:pPr>
        <w:spacing w:after="120"/>
        <w:ind w:left="567" w:hanging="567"/>
        <w:jc w:val="both"/>
      </w:pPr>
      <w:r>
        <w:rPr>
          <w:i/>
        </w:rPr>
        <w:t>Ahmet Yıldırım v. Türkiye</w:t>
      </w:r>
      <w:r>
        <w:t>, No. 3111/10, 18 Aralık 2012.</w:t>
      </w:r>
    </w:p>
    <w:p w14:paraId="45CE85F3" w14:textId="77777777" w:rsidR="00224B8B" w:rsidRDefault="00224B8B" w:rsidP="00224B8B">
      <w:pPr>
        <w:spacing w:after="120"/>
        <w:ind w:left="567" w:hanging="567"/>
        <w:jc w:val="both"/>
      </w:pPr>
      <w:r>
        <w:rPr>
          <w:i/>
        </w:rPr>
        <w:t>Delfi AS v. Estonya</w:t>
      </w:r>
      <w:r>
        <w:t xml:space="preserve"> [BD], No. 64569/09, 16 Haziran 2015.</w:t>
      </w:r>
    </w:p>
    <w:p w14:paraId="1EF59BA3" w14:textId="77777777" w:rsidR="00224B8B" w:rsidRDefault="00224B8B" w:rsidP="00224B8B">
      <w:pPr>
        <w:spacing w:after="120"/>
        <w:ind w:left="567" w:hanging="567"/>
        <w:jc w:val="both"/>
      </w:pPr>
      <w:r>
        <w:rPr>
          <w:i/>
        </w:rPr>
        <w:t>Cengiz ve diğerleri v. Türkiye</w:t>
      </w:r>
      <w:r>
        <w:t>, No. 48226/10 ve 14027/11, 1 Aralık 2015.</w:t>
      </w:r>
    </w:p>
    <w:p w14:paraId="4F608651" w14:textId="77777777" w:rsidR="00224B8B" w:rsidRDefault="00224B8B" w:rsidP="00224B8B">
      <w:pPr>
        <w:spacing w:after="120"/>
        <w:ind w:left="567" w:hanging="567"/>
        <w:jc w:val="both"/>
      </w:pPr>
      <w:r>
        <w:rPr>
          <w:i/>
        </w:rPr>
        <w:t>Magyar Tartalomszolgáltatók Egyesülete ve Index.hu Zrt v. Macaristan</w:t>
      </w:r>
      <w:r>
        <w:t>, No. 22947/13, 2 Şubat 2016.</w:t>
      </w:r>
    </w:p>
    <w:p w14:paraId="450DC3EB" w14:textId="77777777" w:rsidR="00224B8B" w:rsidRDefault="00224B8B" w:rsidP="00224B8B">
      <w:pPr>
        <w:spacing w:after="120"/>
        <w:ind w:left="567" w:hanging="567"/>
        <w:jc w:val="both"/>
      </w:pPr>
      <w:r>
        <w:rPr>
          <w:i/>
        </w:rPr>
        <w:t>Sanchez v. Fransa</w:t>
      </w:r>
      <w:r>
        <w:t xml:space="preserve"> [BD], No. 45581/15, 15 Mayıs 2023.</w:t>
      </w:r>
    </w:p>
    <w:p w14:paraId="3C21D6D4" w14:textId="77777777" w:rsidR="00224B8B" w:rsidRDefault="00224B8B" w:rsidP="00224B8B">
      <w:pPr>
        <w:spacing w:before="160" w:after="80"/>
      </w:pPr>
      <w:r>
        <w:rPr>
          <w:b/>
          <w:i/>
          <w:sz w:val="22"/>
        </w:rPr>
        <w:t>Türkiye Cumhuriyeti Anayasa Mahkemesi</w:t>
      </w:r>
    </w:p>
    <w:p w14:paraId="793B4F4A" w14:textId="77777777" w:rsidR="00224B8B" w:rsidRDefault="00224B8B" w:rsidP="00224B8B">
      <w:pPr>
        <w:spacing w:after="120"/>
        <w:ind w:left="567" w:hanging="567"/>
        <w:jc w:val="both"/>
      </w:pPr>
      <w:r>
        <w:rPr>
          <w:i/>
        </w:rPr>
        <w:lastRenderedPageBreak/>
        <w:t xml:space="preserve">Wikimedia Foundation Inc. </w:t>
      </w:r>
      <w:proofErr w:type="gramStart"/>
      <w:r>
        <w:rPr>
          <w:i/>
        </w:rPr>
        <w:t>ve</w:t>
      </w:r>
      <w:proofErr w:type="gramEnd"/>
      <w:r>
        <w:rPr>
          <w:i/>
        </w:rPr>
        <w:t xml:space="preserve"> diğerleri</w:t>
      </w:r>
      <w:r>
        <w:t xml:space="preserve"> [GK], B. No: 2017/22355, 26 Aralık 2019.</w:t>
      </w:r>
    </w:p>
    <w:p w14:paraId="735DC6A3" w14:textId="01EC3ACC" w:rsidR="00224B8B" w:rsidRDefault="00224B8B" w:rsidP="00224B8B">
      <w:pPr>
        <w:spacing w:before="160" w:after="80"/>
      </w:pPr>
      <w:r>
        <w:rPr>
          <w:b/>
          <w:i/>
          <w:sz w:val="22"/>
        </w:rPr>
        <w:t>Diğer Mahkeme Kararları</w:t>
      </w:r>
    </w:p>
    <w:p w14:paraId="6F9A45AF" w14:textId="77777777" w:rsidR="00224B8B" w:rsidRDefault="00224B8B" w:rsidP="00224B8B">
      <w:pPr>
        <w:spacing w:after="120"/>
        <w:ind w:left="567" w:hanging="567"/>
        <w:jc w:val="both"/>
      </w:pPr>
      <w:r>
        <w:t>Marsh v. Alabama, 326 U.S. 501 (1946).</w:t>
      </w:r>
    </w:p>
    <w:p w14:paraId="0C704F20" w14:textId="77777777" w:rsidR="00224B8B" w:rsidRDefault="00224B8B" w:rsidP="00224B8B">
      <w:pPr>
        <w:spacing w:after="120"/>
        <w:ind w:left="567" w:hanging="567"/>
        <w:jc w:val="both"/>
      </w:pPr>
      <w:r>
        <w:t>Packingham v. North Carolina, 582 U.S. 98 (2017).</w:t>
      </w:r>
    </w:p>
    <w:p w14:paraId="4B983E8A" w14:textId="77777777" w:rsidR="00224B8B" w:rsidRDefault="00224B8B" w:rsidP="00224B8B">
      <w:pPr>
        <w:spacing w:after="120"/>
        <w:ind w:left="567" w:hanging="567"/>
        <w:jc w:val="both"/>
      </w:pPr>
      <w:r>
        <w:t>Manhattan Community Access Corp. v. Halleck, 587 U.S. 802 (2019).</w:t>
      </w:r>
    </w:p>
    <w:p w14:paraId="2AA40BA7" w14:textId="77777777" w:rsidR="00224B8B" w:rsidRDefault="00224B8B" w:rsidP="00224B8B">
      <w:pPr>
        <w:spacing w:after="120"/>
        <w:ind w:left="567" w:hanging="567"/>
        <w:jc w:val="both"/>
      </w:pPr>
      <w:r>
        <w:t>Moody v. NetChoice, LLC, 603 U.S. 707 (2024).</w:t>
      </w:r>
    </w:p>
    <w:p w14:paraId="5E3487C4" w14:textId="77777777" w:rsidR="00224B8B" w:rsidRDefault="00224B8B" w:rsidP="00224B8B">
      <w:pPr>
        <w:spacing w:after="120"/>
        <w:ind w:left="567" w:hanging="567"/>
        <w:jc w:val="both"/>
      </w:pPr>
      <w:r>
        <w:t>BVerfG, 1 BvR 400/51, 15 Ocak 1958, BVerfGE 7, 198 (</w:t>
      </w:r>
      <w:r>
        <w:rPr>
          <w:i/>
        </w:rPr>
        <w:t>Lüth</w:t>
      </w:r>
      <w:r>
        <w:t>).</w:t>
      </w:r>
    </w:p>
    <w:p w14:paraId="20495354" w14:textId="77777777" w:rsidR="00224B8B" w:rsidRDefault="00224B8B" w:rsidP="00224B8B">
      <w:pPr>
        <w:spacing w:after="120"/>
        <w:ind w:left="567" w:hanging="567"/>
        <w:jc w:val="both"/>
      </w:pPr>
      <w:r>
        <w:t>BVerfG, 1 BvR 3080/09, 11 Nisan 2018 (</w:t>
      </w:r>
      <w:r>
        <w:rPr>
          <w:i/>
        </w:rPr>
        <w:t>Stadionverbot</w:t>
      </w:r>
      <w:r>
        <w:t>).</w:t>
      </w:r>
    </w:p>
    <w:p w14:paraId="380E9149" w14:textId="77777777" w:rsidR="00224B8B" w:rsidRDefault="00224B8B" w:rsidP="00224B8B">
      <w:pPr>
        <w:spacing w:after="120"/>
        <w:ind w:left="567" w:hanging="567"/>
        <w:jc w:val="both"/>
      </w:pPr>
      <w:r>
        <w:t>BGH, III ZR 179/20 ve III ZR 192/20, 29 Temmuz 2021.</w:t>
      </w:r>
    </w:p>
    <w:p w14:paraId="21E87A35" w14:textId="77777777" w:rsidR="00224B8B" w:rsidRDefault="00224B8B" w:rsidP="00224B8B">
      <w:pPr>
        <w:spacing w:before="280" w:after="160"/>
      </w:pPr>
      <w:r>
        <w:rPr>
          <w:b/>
          <w:sz w:val="26"/>
        </w:rPr>
        <w:t>III. Mevzuat ve Uluslararası Belgeler</w:t>
      </w:r>
    </w:p>
    <w:p w14:paraId="6EA5112D" w14:textId="77777777" w:rsidR="00224B8B" w:rsidRDefault="00224B8B" w:rsidP="00224B8B">
      <w:pPr>
        <w:spacing w:after="120"/>
        <w:ind w:left="567" w:hanging="567"/>
        <w:jc w:val="both"/>
      </w:pPr>
      <w:r>
        <w:t xml:space="preserve">Council of Europe. </w:t>
      </w:r>
      <w:r>
        <w:rPr>
          <w:i/>
        </w:rPr>
        <w:t>Framework Convention on Artificial Intelligence and Human Rights, Democracy and the Rule of Law</w:t>
      </w:r>
      <w:r>
        <w:t>. CETS No. 225. Vilnius, 5 Eylül 2024.</w:t>
      </w:r>
    </w:p>
    <w:p w14:paraId="4D90E7F4" w14:textId="77777777" w:rsidR="00224B8B" w:rsidRDefault="00224B8B" w:rsidP="00224B8B">
      <w:pPr>
        <w:spacing w:after="120"/>
        <w:ind w:left="567" w:hanging="567"/>
        <w:jc w:val="both"/>
      </w:pPr>
      <w:r>
        <w:t>Federal Trade Commission Act § 5, 15 U.S.C. § 45.</w:t>
      </w:r>
    </w:p>
    <w:p w14:paraId="4B1F582D" w14:textId="77777777" w:rsidR="00224B8B" w:rsidRDefault="00224B8B" w:rsidP="00224B8B">
      <w:pPr>
        <w:spacing w:after="120"/>
        <w:ind w:left="567" w:hanging="567"/>
        <w:jc w:val="both"/>
      </w:pPr>
      <w:r>
        <w:rPr>
          <w:i/>
        </w:rPr>
        <w:t>Netzwerkdurchsetzungsgesetz</w:t>
      </w:r>
      <w:r>
        <w:t xml:space="preserve"> (NetzDG). 1 Eylül 2017, BGBl. I S. 3352.</w:t>
      </w:r>
    </w:p>
    <w:p w14:paraId="0C869CB4" w14:textId="77777777" w:rsidR="00224B8B" w:rsidRDefault="00224B8B" w:rsidP="00224B8B">
      <w:pPr>
        <w:spacing w:after="120"/>
        <w:ind w:left="567" w:hanging="567"/>
        <w:jc w:val="both"/>
      </w:pPr>
      <w:r>
        <w:rPr>
          <w:i/>
        </w:rPr>
        <w:t>Online Safety Act 2023</w:t>
      </w:r>
      <w:r>
        <w:t xml:space="preserve"> (Birleşik Krallık), c. 50.</w:t>
      </w:r>
    </w:p>
    <w:p w14:paraId="23365D84" w14:textId="77777777" w:rsidR="00224B8B" w:rsidRDefault="00224B8B" w:rsidP="00224B8B">
      <w:pPr>
        <w:spacing w:after="120"/>
        <w:ind w:left="567" w:hanging="567"/>
        <w:jc w:val="both"/>
      </w:pPr>
      <w:r>
        <w:t>Regulation (EU) 2016/679 of the European Parliament and of the Council of 27 April 2016 (General Data Protection Regulation). OJ L 119, 4 Mayıs 2016.</w:t>
      </w:r>
    </w:p>
    <w:p w14:paraId="77AE464D" w14:textId="77777777" w:rsidR="00224B8B" w:rsidRDefault="00224B8B" w:rsidP="00224B8B">
      <w:pPr>
        <w:spacing w:after="120"/>
        <w:ind w:left="567" w:hanging="567"/>
        <w:jc w:val="both"/>
      </w:pPr>
      <w:r>
        <w:t>Regulation (EU) 2019/1150 of the European Parliament and of the Council of 20 June 2019 (Platform-to-Business Regulation). OJ L 186, 11 Temmuz 2019.</w:t>
      </w:r>
    </w:p>
    <w:p w14:paraId="73CBDE66" w14:textId="77777777" w:rsidR="00224B8B" w:rsidRDefault="00224B8B" w:rsidP="00224B8B">
      <w:pPr>
        <w:spacing w:after="120"/>
        <w:ind w:left="567" w:hanging="567"/>
        <w:jc w:val="both"/>
      </w:pPr>
      <w:r>
        <w:t>Regulation (EU) 2022/1925 of the European Parliament and of the Council of 14 September 2022 (Digital Markets Act). OJ L 265, 12 Ekim 2022.</w:t>
      </w:r>
    </w:p>
    <w:p w14:paraId="6F1FD494" w14:textId="77777777" w:rsidR="00224B8B" w:rsidRDefault="00224B8B" w:rsidP="00224B8B">
      <w:pPr>
        <w:spacing w:after="120"/>
        <w:ind w:left="567" w:hanging="567"/>
        <w:jc w:val="both"/>
      </w:pPr>
      <w:r>
        <w:t>Regulation (EU) 2022/2065 of the European Parliament and of the Council of 19 October 2022 on a Single Market for Digital Services and amending Directive 2000/31/EC (Digital Services Act). OJ L 277, 27 Ekim 2022, 1–102.</w:t>
      </w:r>
    </w:p>
    <w:p w14:paraId="332B36C4" w14:textId="77777777" w:rsidR="00224B8B" w:rsidRDefault="00224B8B" w:rsidP="00224B8B">
      <w:pPr>
        <w:spacing w:after="120"/>
        <w:ind w:left="567" w:hanging="567"/>
        <w:jc w:val="both"/>
      </w:pPr>
      <w:r>
        <w:t>Regulation (EU) 2024/900 of the European Parliament and of the Council of 13 March 2024 on the transparency and targeting of political advertising. OJ L, 20 Mart 2024.</w:t>
      </w:r>
    </w:p>
    <w:p w14:paraId="1BE0C091" w14:textId="77777777" w:rsidR="00224B8B" w:rsidRDefault="00224B8B" w:rsidP="00224B8B">
      <w:pPr>
        <w:spacing w:after="120"/>
        <w:ind w:left="567" w:hanging="567"/>
        <w:jc w:val="both"/>
      </w:pPr>
      <w:r>
        <w:t>Regulation (EU) 2024/1689 of the European Parliament and of the Council of 13 June 2024 laying down harmonised rules on artificial intelligence (Artificial Intelligence Act). OJ L, 12 Temmuz 2024.</w:t>
      </w:r>
    </w:p>
    <w:p w14:paraId="18483978" w14:textId="77777777" w:rsidR="00224B8B" w:rsidRDefault="00224B8B" w:rsidP="00224B8B">
      <w:pPr>
        <w:spacing w:after="120"/>
        <w:ind w:left="567" w:hanging="567"/>
        <w:jc w:val="both"/>
      </w:pPr>
      <w:r>
        <w:t xml:space="preserve">United Nations General Assembly. </w:t>
      </w:r>
      <w:r>
        <w:rPr>
          <w:i/>
        </w:rPr>
        <w:t>Principles Relating to the Status of National Institutions (The Paris Principles)</w:t>
      </w:r>
      <w:r>
        <w:t>. A/RES/48/134, 20 Aralık 1993.</w:t>
      </w:r>
    </w:p>
    <w:p w14:paraId="25D16C50" w14:textId="77777777" w:rsidR="00224B8B" w:rsidRDefault="00224B8B" w:rsidP="00224B8B">
      <w:pPr>
        <w:spacing w:after="120"/>
        <w:ind w:left="567" w:hanging="567"/>
        <w:jc w:val="both"/>
      </w:pPr>
      <w:r>
        <w:t>United States Code, Title 17, § 512 (Digital Millennium Copyright Act).</w:t>
      </w:r>
    </w:p>
    <w:p w14:paraId="6E3509FC" w14:textId="77777777" w:rsidR="00224B8B" w:rsidRDefault="00224B8B" w:rsidP="00224B8B">
      <w:pPr>
        <w:spacing w:after="120"/>
        <w:ind w:left="567" w:hanging="567"/>
        <w:jc w:val="both"/>
      </w:pPr>
      <w:r>
        <w:t>United States Code, Title 47, § 230 (Communications Decency Act).</w:t>
      </w:r>
    </w:p>
    <w:p w14:paraId="03CCE8FC" w14:textId="77777777" w:rsidR="00224B8B" w:rsidRDefault="00224B8B" w:rsidP="00224B8B">
      <w:pPr>
        <w:spacing w:after="120"/>
        <w:ind w:left="567" w:hanging="567"/>
        <w:jc w:val="both"/>
      </w:pPr>
      <w:r>
        <w:t xml:space="preserve">Venice Commission (European Commission for Democracy through Law). </w:t>
      </w:r>
      <w:r>
        <w:rPr>
          <w:i/>
        </w:rPr>
        <w:t>The Updated Rule of Law Checklist</w:t>
      </w:r>
      <w:r>
        <w:t>. CDL-</w:t>
      </w:r>
      <w:proofErr w:type="gramStart"/>
      <w:r>
        <w:t>AD(</w:t>
      </w:r>
      <w:proofErr w:type="gramEnd"/>
      <w:r>
        <w:t>2025)002. 145. Genel Kurul Toplantısı’nda kabul edilmiştir (Venedik, 12–13 Aralık 2025). Strazburg, 16 Aralık 2025.</w:t>
      </w:r>
    </w:p>
    <w:p w14:paraId="6712B654" w14:textId="77777777" w:rsidR="00224B8B" w:rsidRDefault="00224B8B" w:rsidP="00224B8B">
      <w:pPr>
        <w:spacing w:before="280" w:after="160"/>
      </w:pPr>
      <w:r>
        <w:rPr>
          <w:b/>
          <w:sz w:val="26"/>
        </w:rPr>
        <w:t>IV. İnternet Kaynakları</w:t>
      </w:r>
    </w:p>
    <w:p w14:paraId="53E9A9DA" w14:textId="77777777" w:rsidR="00224B8B" w:rsidRDefault="00224B8B" w:rsidP="00224B8B">
      <w:pPr>
        <w:spacing w:after="120"/>
        <w:ind w:left="567" w:hanging="567"/>
        <w:jc w:val="both"/>
      </w:pPr>
      <w:r>
        <w:rPr>
          <w:i/>
        </w:rPr>
        <w:lastRenderedPageBreak/>
        <w:t>Santa Clara Principles on Transparency and Accountability in Content Moderation</w:t>
      </w:r>
      <w:r>
        <w:t>. 2018; gözden geçirilmiş metin, 2021. https://santaclaraprinciples.org.</w:t>
      </w:r>
    </w:p>
    <w:p w14:paraId="4625FB45" w14:textId="77777777" w:rsidR="00224B8B" w:rsidRDefault="00224B8B" w:rsidP="00224B8B">
      <w:pPr>
        <w:spacing w:after="120"/>
        <w:ind w:left="567" w:hanging="567"/>
        <w:jc w:val="both"/>
      </w:pPr>
      <w:r>
        <w:t>Suzor, Nicolas. “The Responsibilities of Platforms: A New Constitutionalism to Promote the Legitimacy of Decentralised Governance.” Association of Internet Researchers Annual Conference, Berlin, 5–8 Ekim 2016. https://spir.aoir.org/ojs/index.php/spir/article/view/9055/pdf.</w:t>
      </w:r>
    </w:p>
    <w:p w14:paraId="3A254F32" w14:textId="77777777" w:rsidR="00224B8B" w:rsidRDefault="00224B8B" w:rsidP="00224B8B">
      <w:pPr>
        <w:spacing w:after="120"/>
        <w:ind w:left="567" w:hanging="567"/>
        <w:jc w:val="both"/>
      </w:pPr>
      <w:r>
        <w:t xml:space="preserve">Venice Commission. </w:t>
      </w:r>
      <w:r>
        <w:rPr>
          <w:i/>
        </w:rPr>
        <w:t>The Updated Rule of Law Checklist</w:t>
      </w:r>
      <w:r>
        <w:t>, CDL-</w:t>
      </w:r>
      <w:proofErr w:type="gramStart"/>
      <w:r>
        <w:t>AD(</w:t>
      </w:r>
      <w:proofErr w:type="gramEnd"/>
      <w:r>
        <w:t>2025)002. https://www.venice.coe.int/webforms/documents/?pdf=CDL-AD(2025)002-e.</w:t>
      </w:r>
    </w:p>
    <w:p w14:paraId="6C5BD3E8" w14:textId="3A8DF3B7" w:rsidR="00DC3567" w:rsidRDefault="00DC3567" w:rsidP="007D116E">
      <w:pPr>
        <w:spacing w:after="120"/>
        <w:ind w:left="566" w:hanging="566"/>
        <w:jc w:val="both"/>
      </w:pPr>
    </w:p>
    <w:sectPr w:rsidR="00DC3567" w:rsidSect="00114A80">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19CB9" w14:textId="77777777" w:rsidR="007D2F1C" w:rsidRDefault="007D2F1C" w:rsidP="00DC3567">
      <w:r>
        <w:separator/>
      </w:r>
    </w:p>
  </w:endnote>
  <w:endnote w:type="continuationSeparator" w:id="0">
    <w:p w14:paraId="635AC685" w14:textId="77777777" w:rsidR="007D2F1C" w:rsidRDefault="007D2F1C" w:rsidP="00DC3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687040"/>
      <w:docPartObj>
        <w:docPartGallery w:val="Page Numbers (Bottom of Page)"/>
        <w:docPartUnique/>
      </w:docPartObj>
    </w:sdtPr>
    <w:sdtContent>
      <w:p w14:paraId="219CEB27" w14:textId="172EAF2B" w:rsidR="00FB467B" w:rsidRDefault="00FB467B">
        <w:pPr>
          <w:pStyle w:val="AltBilgi"/>
          <w:jc w:val="right"/>
        </w:pPr>
        <w:r>
          <w:fldChar w:fldCharType="begin"/>
        </w:r>
        <w:r>
          <w:instrText>PAGE   \* MERGEFORMAT</w:instrText>
        </w:r>
        <w:r>
          <w:fldChar w:fldCharType="separate"/>
        </w:r>
        <w:r>
          <w:t>2</w:t>
        </w:r>
        <w:r>
          <w:fldChar w:fldCharType="end"/>
        </w:r>
      </w:p>
    </w:sdtContent>
  </w:sdt>
  <w:p w14:paraId="5C5FF184" w14:textId="77777777" w:rsidR="00FB467B" w:rsidRDefault="00FB467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F7A1F" w14:textId="77777777" w:rsidR="007D2F1C" w:rsidRDefault="007D2F1C" w:rsidP="00DC3567">
      <w:r>
        <w:separator/>
      </w:r>
    </w:p>
  </w:footnote>
  <w:footnote w:type="continuationSeparator" w:id="0">
    <w:p w14:paraId="4DF177D6" w14:textId="77777777" w:rsidR="007D2F1C" w:rsidRDefault="007D2F1C" w:rsidP="00DC3567">
      <w:r>
        <w:continuationSeparator/>
      </w:r>
    </w:p>
  </w:footnote>
  <w:footnote w:id="1">
    <w:p w14:paraId="0B3F2795" w14:textId="56DF28C2" w:rsidR="00114A80" w:rsidRPr="00FB467B" w:rsidRDefault="00114A80" w:rsidP="00FB467B">
      <w:pPr>
        <w:pStyle w:val="DipnotMetni"/>
        <w:jc w:val="both"/>
      </w:pPr>
      <w:r w:rsidRPr="00FB467B">
        <w:rPr>
          <w:rStyle w:val="DipnotBavurusu"/>
        </w:rPr>
        <w:footnoteRef/>
      </w:r>
      <w:r w:rsidRPr="00FB467B">
        <w:t xml:space="preserve"> Dr. Öğretim Üyesi, Ankara Üniversitesi Hukuk Fakültesi Anayasa Hukuku Anabilim Dalı, </w:t>
      </w:r>
      <w:hyperlink r:id="rId1" w:history="1">
        <w:r w:rsidRPr="00FB467B">
          <w:rPr>
            <w:rStyle w:val="Kpr"/>
            <w:color w:val="auto"/>
            <w:u w:val="none"/>
          </w:rPr>
          <w:t>polat@law.ankara.edu.tr</w:t>
        </w:r>
      </w:hyperlink>
      <w:r w:rsidRPr="00FB467B">
        <w:t>, Orcid Id: https://orcid.org/0000-0001-8085-2032.</w:t>
      </w:r>
    </w:p>
    <w:p w14:paraId="5B08B3CF" w14:textId="77777777" w:rsidR="00114A80" w:rsidRPr="00FB467B" w:rsidRDefault="00114A80" w:rsidP="00FB467B">
      <w:pPr>
        <w:pStyle w:val="DipnotMetni"/>
        <w:jc w:val="both"/>
      </w:pPr>
    </w:p>
  </w:footnote>
  <w:footnote w:id="2">
    <w:p w14:paraId="18192D91" w14:textId="784BAB4E" w:rsidR="007D116E" w:rsidRPr="00FB467B" w:rsidRDefault="007D116E" w:rsidP="00FB467B">
      <w:pPr>
        <w:pStyle w:val="DipnotMetni"/>
        <w:jc w:val="both"/>
      </w:pPr>
      <w:r w:rsidRPr="00FB467B">
        <w:rPr>
          <w:rStyle w:val="DipnotBavurusu"/>
        </w:rPr>
        <w:footnoteRef/>
      </w:r>
      <w:r w:rsidRPr="00FB467B">
        <w:t xml:space="preserve"> </w:t>
      </w:r>
      <w:r w:rsidR="002C1407" w:rsidRPr="00FB467B">
        <w:t xml:space="preserve">Bkz. Jack M. Balkin, “The Three Laws of Robotics in the Age of Big Data,” </w:t>
      </w:r>
      <w:r w:rsidR="002C1407" w:rsidRPr="00FB467B">
        <w:rPr>
          <w:i/>
          <w:iCs/>
        </w:rPr>
        <w:t>Ohio State Law Journal</w:t>
      </w:r>
      <w:r w:rsidR="002C1407" w:rsidRPr="00FB467B">
        <w:t xml:space="preserve"> 78 (2017): 1217–1241; Jack M. Balkin, “Free Speech in the Algorithmic Society: Big Data, Private Governance, and New School Speech Regulation,” </w:t>
      </w:r>
      <w:r w:rsidR="002C1407" w:rsidRPr="00FB467B">
        <w:rPr>
          <w:i/>
          <w:iCs/>
        </w:rPr>
        <w:t>U.C. Davis Law Review</w:t>
      </w:r>
      <w:r w:rsidR="002C1407" w:rsidRPr="00FB467B">
        <w:t xml:space="preserve"> 51 (2018): 1149</w:t>
      </w:r>
      <w:r w:rsidR="002C1407">
        <w:t>-</w:t>
      </w:r>
      <w:r w:rsidR="002C1407" w:rsidRPr="00FB467B">
        <w:t>1210. Burada “platform” kavramı yalnızca sosyal medya ağlarını değil; içerik barındırma hizmetlerini, uygulama mağazalarını, arama motorlarını, çevrim içi ödeme ve reklam altyapılarını, bulut bilişim sağlayıcılarını, dijital kimlik doğrulama sistemlerini ve kamusal görünürlüğün dağıtımını yöneten arayüzleri kapsayan daha geniş bir erişim ve kapı bekçiliği (</w:t>
      </w:r>
      <w:r w:rsidR="002C1407" w:rsidRPr="00FB467B">
        <w:rPr>
          <w:i/>
          <w:iCs/>
        </w:rPr>
        <w:t>gatekeeping</w:t>
      </w:r>
      <w:r w:rsidR="002C1407" w:rsidRPr="00FB467B">
        <w:t>) altyapısını ifade etmektedir.</w:t>
      </w:r>
    </w:p>
  </w:footnote>
  <w:footnote w:id="3">
    <w:p w14:paraId="4CD06DFA" w14:textId="77739131" w:rsidR="007D116E" w:rsidRPr="00FB467B" w:rsidRDefault="007D116E" w:rsidP="00FB467B">
      <w:pPr>
        <w:pStyle w:val="DipnotMetni"/>
        <w:jc w:val="both"/>
      </w:pPr>
      <w:r w:rsidRPr="00FB467B">
        <w:rPr>
          <w:rStyle w:val="DipnotBavurusu"/>
        </w:rPr>
        <w:footnoteRef/>
      </w:r>
      <w:r w:rsidRPr="00FB467B">
        <w:t xml:space="preserve"> </w:t>
      </w:r>
      <w:r w:rsidR="002C1407" w:rsidRPr="00FB467B">
        <w:t xml:space="preserve">Horatia Muir Watt, “Conflicts of Laws Unbounded: The Case for a Legal-Pluralist Revival,” </w:t>
      </w:r>
      <w:r w:rsidR="002C1407" w:rsidRPr="00FB467B">
        <w:rPr>
          <w:i/>
          <w:iCs/>
        </w:rPr>
        <w:t>Transnational Legal Theory</w:t>
      </w:r>
      <w:r w:rsidR="002C1407" w:rsidRPr="00FB467B">
        <w:t xml:space="preserve"> 7, no. 3 (2016): 313–353, özellikle 320–321; Giovanni De Gregorio, </w:t>
      </w:r>
      <w:r w:rsidR="002C1407" w:rsidRPr="00FB467B">
        <w:rPr>
          <w:i/>
          <w:iCs/>
        </w:rPr>
        <w:t>Digital Constitutionalism in Europe: Reframing Rights and Powers in the Algorithmic Society</w:t>
      </w:r>
      <w:r w:rsidR="002C1407" w:rsidRPr="00FB467B">
        <w:t xml:space="preserve"> (Cambridge: Cambridge University Press, 2022), 40; Balkin, “Free Speech in the Algorithmic Society,” 1149 vd.; Julie E. Cohen, </w:t>
      </w:r>
      <w:r w:rsidR="002C1407" w:rsidRPr="00FB467B">
        <w:rPr>
          <w:i/>
          <w:iCs/>
        </w:rPr>
        <w:t>Between Truth and Power: The Legal Constructions of Informational Capitalism</w:t>
      </w:r>
      <w:r w:rsidR="002C1407" w:rsidRPr="00FB467B">
        <w:t xml:space="preserve"> (Oxford: Oxford University Press, 2019); Frank Pasquale, </w:t>
      </w:r>
      <w:r w:rsidR="002C1407" w:rsidRPr="00FB467B">
        <w:rPr>
          <w:i/>
          <w:iCs/>
        </w:rPr>
        <w:t>The Black Box Society: The Secret Algorithms That Control Money and Information</w:t>
      </w:r>
      <w:r w:rsidR="002C1407" w:rsidRPr="00FB467B">
        <w:t xml:space="preserve"> (Cambridge, MA: Harvard University Press, 2015); Alper Işık, </w:t>
      </w:r>
      <w:r w:rsidR="002C1407" w:rsidRPr="00FB467B">
        <w:rPr>
          <w:i/>
          <w:iCs/>
        </w:rPr>
        <w:t>İnternet Aktörleri ve Egemenliğin Değişen Boyutları</w:t>
      </w:r>
      <w:r w:rsidR="002C1407" w:rsidRPr="00FB467B">
        <w:t xml:space="preserve"> (İstanbul: On İki Levha Yayıncılık, 2023), 29; Sezen Kama Işık, “Klasik Anayasacılıktan Dijital Anayasacılığa: Anayasa Hukukunun Dönüşümü,” </w:t>
      </w:r>
      <w:r w:rsidR="002C1407" w:rsidRPr="00FB467B">
        <w:rPr>
          <w:i/>
          <w:iCs/>
        </w:rPr>
        <w:t>Uluslararası Bilişim ve Teknoloji Hukuku Sempozyumu Tebliğler Kitabı</w:t>
      </w:r>
      <w:r w:rsidR="002C1407" w:rsidRPr="00FB467B">
        <w:t xml:space="preserve"> içinde (Ankara: Adalet Yayınevi, 2021), 50.</w:t>
      </w:r>
    </w:p>
  </w:footnote>
  <w:footnote w:id="4">
    <w:p w14:paraId="0660CFCF" w14:textId="01110138" w:rsidR="00224B8B" w:rsidRDefault="00224B8B" w:rsidP="00224B8B">
      <w:pPr>
        <w:pStyle w:val="DipnotMetni"/>
        <w:jc w:val="both"/>
      </w:pPr>
      <w:r>
        <w:rPr>
          <w:rStyle w:val="DipnotBavurusu"/>
        </w:rPr>
        <w:footnoteRef/>
      </w:r>
      <w:r>
        <w:t xml:space="preserve"> Konuya ilişkin ayrıntılı çalışma için bkz. </w:t>
      </w:r>
      <w:r w:rsidRPr="00224B8B">
        <w:t xml:space="preserve">Aslıhan Kaplan Arık, “Dijital Anayasacılık Perspektifinden Platformların Demokratik Meşruiyet ve Denetim Sorunu,” </w:t>
      </w:r>
      <w:r w:rsidRPr="00224B8B">
        <w:rPr>
          <w:i/>
          <w:iCs/>
        </w:rPr>
        <w:t>Adalet Dergisi</w:t>
      </w:r>
      <w:r w:rsidRPr="00224B8B">
        <w:t>, sy. 76 (Mart 2026): 697–</w:t>
      </w:r>
      <w:r>
        <w:t>9</w:t>
      </w:r>
      <w:r w:rsidRPr="00224B8B">
        <w:t>99</w:t>
      </w:r>
      <w:r>
        <w:t>.</w:t>
      </w:r>
    </w:p>
  </w:footnote>
  <w:footnote w:id="5">
    <w:p w14:paraId="06E51F02" w14:textId="67D9DFC3" w:rsidR="000C6CB6" w:rsidRPr="00FB467B" w:rsidRDefault="000C6CB6" w:rsidP="00FB467B">
      <w:pPr>
        <w:pStyle w:val="DipnotMetni"/>
        <w:jc w:val="both"/>
      </w:pPr>
      <w:r w:rsidRPr="00FB467B">
        <w:rPr>
          <w:rStyle w:val="DipnotBavurusu"/>
        </w:rPr>
        <w:footnoteRef/>
      </w:r>
      <w:r w:rsidRPr="00FB467B">
        <w:t xml:space="preserve"> </w:t>
      </w:r>
      <w:r w:rsidR="002C1407" w:rsidRPr="00FB467B">
        <w:t xml:space="preserve">Balkin, “Free Speech in the Algorithmic Society,” 1155; Jack M. Balkin, “Free Speech Is a Triangle,” </w:t>
      </w:r>
      <w:r w:rsidR="002C1407" w:rsidRPr="00FB467B">
        <w:rPr>
          <w:i/>
          <w:iCs/>
        </w:rPr>
        <w:t>Columbia Law Review</w:t>
      </w:r>
      <w:r w:rsidR="002C1407" w:rsidRPr="00FB467B">
        <w:t xml:space="preserve"> 118 (2018): 2011–2056, özellikle 2011 vd.; Balkin, “The Three Laws of Robotics,” 1217–1241.</w:t>
      </w:r>
    </w:p>
  </w:footnote>
  <w:footnote w:id="6">
    <w:p w14:paraId="777B8643" w14:textId="456B579B" w:rsidR="000C6CB6" w:rsidRPr="00FB467B" w:rsidRDefault="000C6CB6" w:rsidP="00FB467B">
      <w:pPr>
        <w:pStyle w:val="DipnotMetni"/>
        <w:jc w:val="both"/>
      </w:pPr>
      <w:r w:rsidRPr="00FB467B">
        <w:rPr>
          <w:rStyle w:val="DipnotBavurusu"/>
        </w:rPr>
        <w:footnoteRef/>
      </w:r>
      <w:r w:rsidRPr="00FB467B">
        <w:t xml:space="preserve"> </w:t>
      </w:r>
      <w:r w:rsidR="002C1407" w:rsidRPr="00FB467B">
        <w:t xml:space="preserve">Byung-Chul Han, </w:t>
      </w:r>
      <w:r w:rsidR="002C1407" w:rsidRPr="00FB467B">
        <w:rPr>
          <w:i/>
          <w:iCs/>
        </w:rPr>
        <w:t>Şeffaflık Toplumu</w:t>
      </w:r>
      <w:r w:rsidR="002C1407" w:rsidRPr="00FB467B">
        <w:t>, çev. Haluk Barışcan, 10. basım (İstanbul: Metis Yayınları, 2025)</w:t>
      </w:r>
      <w:r w:rsidR="00240C24">
        <w:t xml:space="preserve">, 12 vd., 67 vd. </w:t>
      </w:r>
    </w:p>
  </w:footnote>
  <w:footnote w:id="7">
    <w:p w14:paraId="13F8D708" w14:textId="420CB8AA" w:rsidR="000C6CB6" w:rsidRPr="00FB467B" w:rsidRDefault="000C6CB6" w:rsidP="00FB467B">
      <w:pPr>
        <w:pStyle w:val="DipnotMetni"/>
        <w:jc w:val="both"/>
      </w:pPr>
      <w:r w:rsidRPr="00FB467B">
        <w:rPr>
          <w:rStyle w:val="DipnotBavurusu"/>
        </w:rPr>
        <w:footnoteRef/>
      </w:r>
      <w:r w:rsidRPr="00FB467B">
        <w:t xml:space="preserve"> </w:t>
      </w:r>
      <w:r w:rsidR="002C1407" w:rsidRPr="00FB467B">
        <w:t>Han, 11.</w:t>
      </w:r>
    </w:p>
  </w:footnote>
  <w:footnote w:id="8">
    <w:p w14:paraId="16164AA3" w14:textId="5F0D1CDB" w:rsidR="000C6CB6" w:rsidRPr="00FB467B" w:rsidRDefault="000C6CB6" w:rsidP="00FB467B">
      <w:pPr>
        <w:pStyle w:val="DipnotMetni"/>
        <w:jc w:val="both"/>
      </w:pPr>
      <w:r w:rsidRPr="00FB467B">
        <w:rPr>
          <w:rStyle w:val="DipnotBavurusu"/>
        </w:rPr>
        <w:footnoteRef/>
      </w:r>
      <w:r w:rsidRPr="00FB467B">
        <w:t xml:space="preserve"> </w:t>
      </w:r>
      <w:r w:rsidR="00240C24" w:rsidRPr="00FB467B">
        <w:t xml:space="preserve">Julie E. Cohen, “Law for the Platform Economy,” </w:t>
      </w:r>
      <w:r w:rsidR="00240C24" w:rsidRPr="00FB467B">
        <w:rPr>
          <w:i/>
          <w:iCs/>
        </w:rPr>
        <w:t>U.C. Davis Law Review</w:t>
      </w:r>
      <w:r w:rsidR="00240C24" w:rsidRPr="00FB467B">
        <w:t xml:space="preserve"> 51 (2017): 133 vd.</w:t>
      </w:r>
      <w:r w:rsidR="00240C24">
        <w:t xml:space="preserve"> Ayrıca bkz. </w:t>
      </w:r>
      <w:r w:rsidR="00240C24" w:rsidRPr="00FB467B">
        <w:t xml:space="preserve">Julie E. Cohen, </w:t>
      </w:r>
      <w:r w:rsidR="00240C24" w:rsidRPr="00FB467B">
        <w:rPr>
          <w:i/>
          <w:iCs/>
        </w:rPr>
        <w:t>Between Truth and Power</w:t>
      </w:r>
      <w:r w:rsidR="00240C24">
        <w:t xml:space="preserve">: </w:t>
      </w:r>
      <w:r w:rsidR="00240C24" w:rsidRPr="00240C24">
        <w:rPr>
          <w:i/>
          <w:iCs/>
        </w:rPr>
        <w:t>The Legal Constructions of Informational Capitalism</w:t>
      </w:r>
      <w:r w:rsidR="00240C24">
        <w:rPr>
          <w:i/>
          <w:iCs/>
        </w:rPr>
        <w:t xml:space="preserve"> </w:t>
      </w:r>
      <w:r w:rsidR="00240C24" w:rsidRPr="00240C24">
        <w:t>(New York:</w:t>
      </w:r>
      <w:r w:rsidR="00240C24">
        <w:rPr>
          <w:i/>
          <w:iCs/>
        </w:rPr>
        <w:t xml:space="preserve"> </w:t>
      </w:r>
      <w:r w:rsidR="00240C24" w:rsidRPr="00240C24">
        <w:t>Oxford University Press, 2019</w:t>
      </w:r>
      <w:r w:rsidR="00240C24">
        <w:t>).</w:t>
      </w:r>
    </w:p>
  </w:footnote>
  <w:footnote w:id="9">
    <w:p w14:paraId="4867E358" w14:textId="2558579D" w:rsidR="000C6CB6" w:rsidRPr="00FB467B" w:rsidRDefault="000C6CB6" w:rsidP="00FB467B">
      <w:pPr>
        <w:pStyle w:val="DipnotMetni"/>
        <w:jc w:val="both"/>
      </w:pPr>
      <w:r w:rsidRPr="00FB467B">
        <w:rPr>
          <w:rStyle w:val="DipnotBavurusu"/>
        </w:rPr>
        <w:footnoteRef/>
      </w:r>
      <w:r w:rsidRPr="00FB467B">
        <w:t xml:space="preserve"> </w:t>
      </w:r>
      <w:r w:rsidR="00240C24" w:rsidRPr="00FB467B">
        <w:t xml:space="preserve">Nicolas P. Suzor, </w:t>
      </w:r>
      <w:r w:rsidR="00240C24" w:rsidRPr="00FB467B">
        <w:rPr>
          <w:i/>
          <w:iCs/>
        </w:rPr>
        <w:t>Lawless: The Secret Rules That Govern Our Digital Lives</w:t>
      </w:r>
      <w:r w:rsidR="00240C24" w:rsidRPr="00FB467B">
        <w:t xml:space="preserve"> (Cambridge: Cambridge University Press, 2019), 221.</w:t>
      </w:r>
    </w:p>
  </w:footnote>
  <w:footnote w:id="10">
    <w:p w14:paraId="78A2788B" w14:textId="314A4B2D" w:rsidR="00090E3F" w:rsidRPr="00FB467B" w:rsidRDefault="00090E3F" w:rsidP="00FB467B">
      <w:pPr>
        <w:pStyle w:val="DipnotMetni"/>
        <w:jc w:val="both"/>
      </w:pPr>
      <w:r w:rsidRPr="00FB467B">
        <w:rPr>
          <w:rStyle w:val="DipnotBavurusu"/>
        </w:rPr>
        <w:footnoteRef/>
      </w:r>
      <w:r w:rsidRPr="00FB467B">
        <w:t xml:space="preserve"> </w:t>
      </w:r>
      <w:r w:rsidR="00240C24" w:rsidRPr="00FB467B">
        <w:t>Yeni nesil ifade düzenlemesi (</w:t>
      </w:r>
      <w:r w:rsidR="00240C24" w:rsidRPr="00FB467B">
        <w:rPr>
          <w:i/>
          <w:iCs/>
        </w:rPr>
        <w:t>new school speech regulation</w:t>
      </w:r>
      <w:r w:rsidR="00240C24" w:rsidRPr="00FB467B">
        <w:t xml:space="preserve">) kavramı için bkz. Jack M. Balkin, “Old-School/New-School Speech Regulation,” </w:t>
      </w:r>
      <w:r w:rsidR="00240C24" w:rsidRPr="00FB467B">
        <w:rPr>
          <w:i/>
          <w:iCs/>
        </w:rPr>
        <w:t>Harvard Law Review</w:t>
      </w:r>
      <w:r w:rsidR="00240C24" w:rsidRPr="00FB467B">
        <w:t xml:space="preserve"> 127 (2014): 2296</w:t>
      </w:r>
      <w:r w:rsidR="00240C24">
        <w:t xml:space="preserve">, </w:t>
      </w:r>
      <w:r w:rsidR="00240C24" w:rsidRPr="00FB467B">
        <w:t>2297.</w:t>
      </w:r>
    </w:p>
  </w:footnote>
  <w:footnote w:id="11">
    <w:p w14:paraId="35052C0D" w14:textId="20E09D77" w:rsidR="000C6CB6" w:rsidRPr="00FB467B" w:rsidRDefault="000C6CB6" w:rsidP="00FB467B">
      <w:pPr>
        <w:pStyle w:val="DipnotMetni"/>
        <w:jc w:val="both"/>
      </w:pPr>
      <w:r w:rsidRPr="00FB467B">
        <w:rPr>
          <w:rStyle w:val="DipnotBavurusu"/>
        </w:rPr>
        <w:footnoteRef/>
      </w:r>
      <w:r w:rsidRPr="00FB467B">
        <w:t xml:space="preserve"> </w:t>
      </w:r>
      <w:r w:rsidR="00240C24">
        <w:t xml:space="preserve">Bkz. </w:t>
      </w:r>
      <w:r w:rsidR="00240C24" w:rsidRPr="00FB467B">
        <w:t xml:space="preserve">Cohen, </w:t>
      </w:r>
      <w:r w:rsidR="00240C24" w:rsidRPr="00FB467B">
        <w:rPr>
          <w:i/>
          <w:iCs/>
        </w:rPr>
        <w:t>Between Truth and Power</w:t>
      </w:r>
      <w:r w:rsidR="00240C24">
        <w:t xml:space="preserve">; </w:t>
      </w:r>
      <w:r w:rsidR="00240C24" w:rsidRPr="00FB467B">
        <w:t>Cohen, “Law for the Platform Economy,” 133–204.</w:t>
      </w:r>
    </w:p>
  </w:footnote>
  <w:footnote w:id="12">
    <w:p w14:paraId="24A127C2" w14:textId="300120AB" w:rsidR="00090E3F" w:rsidRPr="00FB467B" w:rsidRDefault="00090E3F" w:rsidP="00FB467B">
      <w:pPr>
        <w:pStyle w:val="DipnotMetni"/>
        <w:jc w:val="both"/>
      </w:pPr>
      <w:r w:rsidRPr="00FB467B">
        <w:rPr>
          <w:rStyle w:val="DipnotBavurusu"/>
        </w:rPr>
        <w:footnoteRef/>
      </w:r>
      <w:r w:rsidRPr="00FB467B">
        <w:t xml:space="preserve"> </w:t>
      </w:r>
      <w:r w:rsidR="00240C24" w:rsidRPr="00FB467B">
        <w:t xml:space="preserve">Niklas Luhmann, </w:t>
      </w:r>
      <w:r w:rsidR="00240C24" w:rsidRPr="00FB467B">
        <w:rPr>
          <w:i/>
          <w:iCs/>
        </w:rPr>
        <w:t>Theory of Society</w:t>
      </w:r>
      <w:r w:rsidR="00240C24" w:rsidRPr="00FB467B">
        <w:t xml:space="preserve">, c. 2, çev. Rhodes Barrett (Stanford: Stanford University Press, 2013), özellikle 87–108. Ayrıca bkz. Niklas Luhmann, </w:t>
      </w:r>
      <w:r w:rsidR="00240C24" w:rsidRPr="00FB467B">
        <w:rPr>
          <w:i/>
          <w:iCs/>
        </w:rPr>
        <w:t>Social Systems</w:t>
      </w:r>
      <w:r w:rsidR="00240C24" w:rsidRPr="00FB467B">
        <w:t xml:space="preserve">, çev. John Bednarz Jr. </w:t>
      </w:r>
      <w:proofErr w:type="gramStart"/>
      <w:r w:rsidR="00240C24" w:rsidRPr="00FB467B">
        <w:t>ve</w:t>
      </w:r>
      <w:proofErr w:type="gramEnd"/>
      <w:r w:rsidR="00240C24" w:rsidRPr="00FB467B">
        <w:t xml:space="preserve"> Dirk Baecker (Stanford: Stanford University Press, 1995).</w:t>
      </w:r>
    </w:p>
  </w:footnote>
  <w:footnote w:id="13">
    <w:p w14:paraId="39812D1A" w14:textId="279292D7" w:rsidR="00090E3F" w:rsidRPr="00FB467B" w:rsidRDefault="00090E3F" w:rsidP="00FB467B">
      <w:pPr>
        <w:pStyle w:val="DipnotMetni"/>
        <w:jc w:val="both"/>
      </w:pPr>
      <w:r w:rsidRPr="00FB467B">
        <w:rPr>
          <w:rStyle w:val="DipnotBavurusu"/>
        </w:rPr>
        <w:footnoteRef/>
      </w:r>
      <w:r w:rsidRPr="00FB467B">
        <w:t xml:space="preserve"> </w:t>
      </w:r>
      <w:r w:rsidR="00240C24" w:rsidRPr="00FB467B">
        <w:t xml:space="preserve">Gunther Teubner, “Societal Constitutionalism: Alternatives to State-Centred Constitutional </w:t>
      </w:r>
      <w:proofErr w:type="gramStart"/>
      <w:r w:rsidR="00240C24" w:rsidRPr="00FB467B">
        <w:t>Theory?,</w:t>
      </w:r>
      <w:proofErr w:type="gramEnd"/>
      <w:r w:rsidR="00240C24" w:rsidRPr="00FB467B">
        <w:t xml:space="preserve">” </w:t>
      </w:r>
      <w:r w:rsidR="00240C24" w:rsidRPr="00FB467B">
        <w:rPr>
          <w:i/>
          <w:iCs/>
        </w:rPr>
        <w:t>Transnational Governance and Constitutionalism</w:t>
      </w:r>
      <w:r w:rsidR="00240C24" w:rsidRPr="00FB467B">
        <w:t xml:space="preserve"> içinde, ed. Christian Joerges, Inger-Johanne Sand ve Gunther Teubner (Oxford: Hart Publishing, 2004), 3–28, özellikle 3–12; Gunther Teubner, </w:t>
      </w:r>
      <w:r w:rsidR="00240C24" w:rsidRPr="00FB467B">
        <w:rPr>
          <w:i/>
          <w:iCs/>
        </w:rPr>
        <w:t>Constitutional Fragments: Societal Constitutionalism and Globalization</w:t>
      </w:r>
      <w:r w:rsidR="00240C24" w:rsidRPr="00FB467B">
        <w:t xml:space="preserve"> (Oxford: Oxford University Press, 2012), özellikle 1–16, 75–86.</w:t>
      </w:r>
    </w:p>
  </w:footnote>
  <w:footnote w:id="14">
    <w:p w14:paraId="64FAF177" w14:textId="697CE805" w:rsidR="00090E3F" w:rsidRPr="00FB467B" w:rsidRDefault="00090E3F" w:rsidP="00FB467B">
      <w:pPr>
        <w:pStyle w:val="DipnotMetni"/>
        <w:jc w:val="both"/>
      </w:pPr>
      <w:r w:rsidRPr="00FB467B">
        <w:rPr>
          <w:rStyle w:val="DipnotBavurusu"/>
        </w:rPr>
        <w:footnoteRef/>
      </w:r>
      <w:r w:rsidRPr="00FB467B">
        <w:t xml:space="preserve"> </w:t>
      </w:r>
      <w:r w:rsidR="00240C24" w:rsidRPr="00FB467B">
        <w:t>Han,</w:t>
      </w:r>
      <w:r w:rsidR="00240C24">
        <w:t xml:space="preserve"> </w:t>
      </w:r>
      <w:r w:rsidR="00240C24" w:rsidRPr="00FB467B">
        <w:t xml:space="preserve">68; Shoshana Zuboff, </w:t>
      </w:r>
      <w:r w:rsidR="00240C24" w:rsidRPr="00FB467B">
        <w:rPr>
          <w:i/>
          <w:iCs/>
        </w:rPr>
        <w:t>The Age of Surveillance Capitalism: The Fight for a Human Future at the New Frontier of Power</w:t>
      </w:r>
      <w:r w:rsidR="00240C24" w:rsidRPr="00FB467B">
        <w:t xml:space="preserve"> (New York: PublicAffairs, 2019).</w:t>
      </w:r>
    </w:p>
  </w:footnote>
  <w:footnote w:id="15">
    <w:p w14:paraId="6E2A173A" w14:textId="3C88C5FE" w:rsidR="00090E3F" w:rsidRPr="00FB467B" w:rsidRDefault="00090E3F" w:rsidP="00FB467B">
      <w:pPr>
        <w:pStyle w:val="DipnotMetni"/>
        <w:jc w:val="both"/>
      </w:pPr>
      <w:r w:rsidRPr="00FB467B">
        <w:rPr>
          <w:rStyle w:val="DipnotBavurusu"/>
        </w:rPr>
        <w:footnoteRef/>
      </w:r>
      <w:r w:rsidRPr="00FB467B">
        <w:t xml:space="preserve"> Han, 72</w:t>
      </w:r>
      <w:r w:rsidR="00240C24">
        <w:t>.</w:t>
      </w:r>
    </w:p>
  </w:footnote>
  <w:footnote w:id="16">
    <w:p w14:paraId="2AD898A4" w14:textId="7BE160FF" w:rsidR="007758BB" w:rsidRPr="00FB467B" w:rsidRDefault="007758BB" w:rsidP="00FB467B">
      <w:pPr>
        <w:pStyle w:val="DipnotMetni"/>
        <w:jc w:val="both"/>
      </w:pPr>
      <w:r w:rsidRPr="00FB467B">
        <w:rPr>
          <w:rStyle w:val="DipnotBavurusu"/>
        </w:rPr>
        <w:footnoteRef/>
      </w:r>
      <w:r w:rsidRPr="00FB467B">
        <w:t xml:space="preserve"> </w:t>
      </w:r>
      <w:r w:rsidR="00240C24">
        <w:t xml:space="preserve">Bkz. </w:t>
      </w:r>
      <w:r w:rsidR="00240C24" w:rsidRPr="00FB467B">
        <w:t xml:space="preserve">Platon, </w:t>
      </w:r>
      <w:r w:rsidR="00240C24" w:rsidRPr="00FB467B">
        <w:rPr>
          <w:i/>
          <w:iCs/>
        </w:rPr>
        <w:t>Devlet</w:t>
      </w:r>
      <w:r w:rsidR="00240C24" w:rsidRPr="00FB467B">
        <w:t xml:space="preserve">, çev. Sabahattin Eyüboğlu ve M. Ali Cimcoz (İstanbul: Türkiye İş Bankası Kültür Yayınları, 2023), VII. Kitap, </w:t>
      </w:r>
      <w:proofErr w:type="gramStart"/>
      <w:r w:rsidR="00240C24" w:rsidRPr="00FB467B">
        <w:t>514a</w:t>
      </w:r>
      <w:proofErr w:type="gramEnd"/>
      <w:r w:rsidR="00240C24" w:rsidRPr="00FB467B">
        <w:t xml:space="preserve">–517a; Jean-Jacques Rousseau, </w:t>
      </w:r>
      <w:r w:rsidR="00240C24" w:rsidRPr="00FB467B">
        <w:rPr>
          <w:i/>
          <w:iCs/>
        </w:rPr>
        <w:t>Confessions</w:t>
      </w:r>
      <w:r w:rsidR="00240C24" w:rsidRPr="00FB467B">
        <w:t>, çev. Angela Scholar (Oxford: Oxford University Press, 2000).</w:t>
      </w:r>
    </w:p>
  </w:footnote>
  <w:footnote w:id="17">
    <w:p w14:paraId="5D08074D" w14:textId="34F32FAC" w:rsidR="007758BB" w:rsidRPr="00FB467B" w:rsidRDefault="007758BB" w:rsidP="00FB467B">
      <w:pPr>
        <w:pStyle w:val="DipnotMetni"/>
        <w:jc w:val="both"/>
      </w:pPr>
      <w:r w:rsidRPr="00FB467B">
        <w:rPr>
          <w:rStyle w:val="DipnotBavurusu"/>
        </w:rPr>
        <w:footnoteRef/>
      </w:r>
      <w:r w:rsidRPr="00FB467B">
        <w:t xml:space="preserve"> </w:t>
      </w:r>
      <w:r w:rsidR="00240C24" w:rsidRPr="00FB467B">
        <w:t xml:space="preserve">Jean Baudrillard, </w:t>
      </w:r>
      <w:r w:rsidR="00240C24" w:rsidRPr="00FB467B">
        <w:rPr>
          <w:i/>
          <w:iCs/>
        </w:rPr>
        <w:t>Simulacra and Simulation</w:t>
      </w:r>
      <w:r w:rsidR="00240C24" w:rsidRPr="00FB467B">
        <w:t>, çev. Sheila Faria Glaser (Ann Arbor: University of Michigan Press, 1994), 1 vd</w:t>
      </w:r>
      <w:r w:rsidR="00240C24">
        <w:t>.</w:t>
      </w:r>
      <w:r w:rsidR="00240C24" w:rsidRPr="00FB467B">
        <w:t xml:space="preserve"> </w:t>
      </w:r>
    </w:p>
  </w:footnote>
  <w:footnote w:id="18">
    <w:p w14:paraId="5895C063" w14:textId="33C4D7B0" w:rsidR="00471C33" w:rsidRPr="00FB467B" w:rsidRDefault="00471C33" w:rsidP="00FB467B">
      <w:pPr>
        <w:pStyle w:val="DipnotMetni"/>
        <w:jc w:val="both"/>
      </w:pPr>
      <w:r w:rsidRPr="00FB467B">
        <w:rPr>
          <w:rStyle w:val="DipnotBavurusu"/>
        </w:rPr>
        <w:footnoteRef/>
      </w:r>
      <w:r w:rsidRPr="00FB467B">
        <w:t xml:space="preserve"> </w:t>
      </w:r>
      <w:r w:rsidR="00240C24" w:rsidRPr="00FB467B">
        <w:t xml:space="preserve">Lawrence Lessig, </w:t>
      </w:r>
      <w:r w:rsidR="00240C24" w:rsidRPr="00FB467B">
        <w:rPr>
          <w:i/>
          <w:iCs/>
        </w:rPr>
        <w:t>Code: Version 2.0</w:t>
      </w:r>
      <w:r w:rsidR="00240C24" w:rsidRPr="00FB467B">
        <w:t xml:space="preserve"> (New York: Basic Books, 2006); Mireille Hildebrandt, </w:t>
      </w:r>
      <w:r w:rsidR="00240C24" w:rsidRPr="00FB467B">
        <w:rPr>
          <w:i/>
          <w:iCs/>
        </w:rPr>
        <w:t>Law for Computer Scientists and Other Folk</w:t>
      </w:r>
      <w:r w:rsidR="00240C24" w:rsidRPr="00FB467B">
        <w:t xml:space="preserve"> (Oxford: Oxford University Press, 2020).</w:t>
      </w:r>
    </w:p>
  </w:footnote>
  <w:footnote w:id="19">
    <w:p w14:paraId="5C55B31C" w14:textId="5EC51269" w:rsidR="00240C24" w:rsidRPr="00FB467B" w:rsidRDefault="00C63337" w:rsidP="00FB467B">
      <w:pPr>
        <w:pStyle w:val="DipnotMetni"/>
        <w:jc w:val="both"/>
      </w:pPr>
      <w:r w:rsidRPr="00FB467B">
        <w:rPr>
          <w:rStyle w:val="DipnotBavurusu"/>
        </w:rPr>
        <w:footnoteRef/>
      </w:r>
      <w:r w:rsidRPr="00FB467B">
        <w:t xml:space="preserve"> </w:t>
      </w:r>
      <w:r w:rsidR="00240C24" w:rsidRPr="00FB467B">
        <w:t xml:space="preserve">Bkz. </w:t>
      </w:r>
      <w:r w:rsidR="00240C24" w:rsidRPr="00240C24">
        <w:rPr>
          <w:i/>
          <w:iCs/>
        </w:rPr>
        <w:t>Packingham v. North Carolina</w:t>
      </w:r>
      <w:r w:rsidR="00240C24" w:rsidRPr="00FB467B">
        <w:t>, 582 U.S. 98 (2017). Mahkeme, söz konusu kararında sosyal medya platformlarını “modern kamusal meydan” (</w:t>
      </w:r>
      <w:r w:rsidR="00240C24" w:rsidRPr="00FB467B">
        <w:rPr>
          <w:i/>
          <w:iCs/>
        </w:rPr>
        <w:t>modern public square</w:t>
      </w:r>
      <w:r w:rsidR="00240C24" w:rsidRPr="00FB467B">
        <w:t xml:space="preserve">) olarak tanımlamış; bu mecraların güncel gelişmelere erişimde merkezî bir rol üstlendiğini ve vatandaşların seslerini duyurabilmeleri için kullanabilecekleri güçlü mekanizmaları temsil ettiğini ifade etmiştir. Karar, siyasal katılmanın altyapısının dijital platformlara kaydığının en açık yargısal tespitlerinden biridir. Ayrıca bkz. AYM, </w:t>
      </w:r>
      <w:r w:rsidR="00240C24" w:rsidRPr="00FB467B">
        <w:rPr>
          <w:i/>
          <w:iCs/>
        </w:rPr>
        <w:t xml:space="preserve">Wikimedia Foundation Inc. </w:t>
      </w:r>
      <w:proofErr w:type="gramStart"/>
      <w:r w:rsidR="00240C24" w:rsidRPr="00FB467B">
        <w:rPr>
          <w:i/>
          <w:iCs/>
        </w:rPr>
        <w:t>ve</w:t>
      </w:r>
      <w:proofErr w:type="gramEnd"/>
      <w:r w:rsidR="00240C24" w:rsidRPr="00FB467B">
        <w:rPr>
          <w:i/>
          <w:iCs/>
        </w:rPr>
        <w:t xml:space="preserve"> diğerleri</w:t>
      </w:r>
      <w:r w:rsidR="00240C24" w:rsidRPr="00FB467B">
        <w:t xml:space="preserve"> [GK], B. No: 2017/22355, 26 Aralık 2019, § 68 vd. Anayasa Mahkemesi bu kararında, müdahale nedenlerinin somut bir bağlantı kurulmaksızın keyfîliğe yol açabilecek ölçüde geniş yorumlanmasının, aynı özgürlüğü kullanmak isteyen geniş kitlelerin ifade özgürlüğü üzerinde yaygın ve ağır bir caydırıcı etki doğuracağını belirtmiştir. Kararda internetin kamusal tartışmalara aktif katılım olanağı sağladığına ve sosyal medyanın bireysel katılıma imkân veren karşılıklı etkileşime açık yapısına yapılan vurgu dikkat çekicidir. Nitekim Mahkeme, erişimin engellenmesinin yalnızca kullanıcıların bilgi ve fikirlere erişme hakkını sınırlamadığını; içeriklerin kullanıcılar arasında tartışılmasını ve aktif editörlerin bu içeriklere katkı sunma, bunları düzenleme ve değiştirme imkânlarını da ortadan kaldırdığını tespit etmiştir. Her ne kadar karar, “dijital kamusal alan” kavramsallaştırmasına yer vermese de Mahkeme’nin yaklaşımı, erişim engellerinin ifade özgürlüğünün yalnızca bilgi edinmeye ilişkin boyutunu değil, dijital kamusal alana etkin katılımı ve bu anlamda katılımcı dijital vatandaşlığı da sınırladığını göstermesi bakımından önemlidir. AİHM de muhtelif kararlarında benzer bir yaklaşım benimsemiştir. Mahkeme, internetin ifade özgürlüğünün kullanılmasında başlıca araçlardan biri hâline geldiğini vurgulamış; çevrim içi platformlara yönelik toptan erişim engellerini Sözleşme’nin 10. maddesi bakımından sorunlu bulmuştur. Özellikle YouTube gibi platformların siyasal ve toplumsal bilgilerin dolaşıma girdiği, yurttaş gazeteciliğine imkân sağladığı ve geleneksel mecralarda yer bulamayan görüşleri görünür kıldığı kabul edilmiştir. Bu içtihat, dijital alana erişim ve görünürlüğün ifade özgürlüğü ile siyasal katılmanın temel koşullarından biri hâline geldiğini göstermektedir. Bkz. AİHM, </w:t>
      </w:r>
      <w:r w:rsidR="00240C24" w:rsidRPr="00FB467B">
        <w:rPr>
          <w:i/>
          <w:iCs/>
        </w:rPr>
        <w:t>Ahmet Yıldırım v. Türkiye</w:t>
      </w:r>
      <w:r w:rsidR="00240C24" w:rsidRPr="00FB467B">
        <w:t xml:space="preserve">, No. 3111/10, 18 Aralık 2012, § 54; AİHM, </w:t>
      </w:r>
      <w:r w:rsidR="00240C24" w:rsidRPr="00FB467B">
        <w:rPr>
          <w:i/>
          <w:iCs/>
        </w:rPr>
        <w:t>Cengiz ve diğerleri v. Türkiye</w:t>
      </w:r>
      <w:r w:rsidR="00240C24" w:rsidRPr="00FB467B">
        <w:t>, No. 48226/10 ve 14027/11, 1 Aralık 2015, §§ 49, 52.</w:t>
      </w:r>
    </w:p>
  </w:footnote>
  <w:footnote w:id="20">
    <w:p w14:paraId="05B30ED9" w14:textId="26DBA61F" w:rsidR="00C63337" w:rsidRPr="00FB467B" w:rsidRDefault="00C63337" w:rsidP="00FB467B">
      <w:pPr>
        <w:pStyle w:val="DipnotMetni"/>
        <w:jc w:val="both"/>
      </w:pPr>
      <w:r w:rsidRPr="00FB467B">
        <w:rPr>
          <w:rStyle w:val="DipnotBavurusu"/>
        </w:rPr>
        <w:footnoteRef/>
      </w:r>
      <w:r w:rsidRPr="00FB467B">
        <w:t xml:space="preserve"> </w:t>
      </w:r>
      <w:r w:rsidR="00240C24" w:rsidRPr="00FB467B">
        <w:t xml:space="preserve">Karen Mossberger, Caroline J. Tolbert ve Ramona S. McNeal, </w:t>
      </w:r>
      <w:r w:rsidR="00240C24" w:rsidRPr="00FB467B">
        <w:rPr>
          <w:i/>
          <w:iCs/>
        </w:rPr>
        <w:t>Digital Citizenship: The Internet, Society, and Participation</w:t>
      </w:r>
      <w:r w:rsidR="00240C24" w:rsidRPr="00FB467B">
        <w:t xml:space="preserve"> (Cambridge, MA: MIT Press, 2008)</w:t>
      </w:r>
      <w:r w:rsidR="00240C24">
        <w:t>, 5-10</w:t>
      </w:r>
      <w:r w:rsidR="00240C24" w:rsidRPr="00FB467B">
        <w:t xml:space="preserve">; Engin Isin ve Evelyn Ruppert, </w:t>
      </w:r>
      <w:r w:rsidR="00240C24" w:rsidRPr="00FB467B">
        <w:rPr>
          <w:i/>
          <w:iCs/>
        </w:rPr>
        <w:t>Being Digital Citizens</w:t>
      </w:r>
      <w:r w:rsidR="00240C24" w:rsidRPr="00FB467B">
        <w:t xml:space="preserve"> (London: Rowman and Littlefield, 2015)</w:t>
      </w:r>
      <w:r w:rsidR="00240C24">
        <w:t>, 1-4, 173-175.</w:t>
      </w:r>
    </w:p>
  </w:footnote>
  <w:footnote w:id="21">
    <w:p w14:paraId="299B2012" w14:textId="67C3D27A" w:rsidR="002C0729" w:rsidRPr="00FB467B" w:rsidRDefault="002C0729" w:rsidP="00FB467B">
      <w:pPr>
        <w:pStyle w:val="DipnotMetni"/>
        <w:jc w:val="both"/>
      </w:pPr>
      <w:r w:rsidRPr="00FB467B">
        <w:rPr>
          <w:rStyle w:val="DipnotBavurusu"/>
        </w:rPr>
        <w:footnoteRef/>
      </w:r>
      <w:r w:rsidRPr="00FB467B">
        <w:t xml:space="preserve"> </w:t>
      </w:r>
      <w:r w:rsidR="00240C24" w:rsidRPr="00FB467B">
        <w:t xml:space="preserve">Luca Belli, “Structural Power as a Critical Element of Social Media Platforms’ Private Sovereignty,” </w:t>
      </w:r>
      <w:r w:rsidR="00240C24" w:rsidRPr="00FB467B">
        <w:rPr>
          <w:i/>
          <w:iCs/>
        </w:rPr>
        <w:t>Constitutionalising Social Media</w:t>
      </w:r>
      <w:r w:rsidR="00240C24" w:rsidRPr="00FB467B">
        <w:t xml:space="preserve"> içinde, ed. Edoardo Celeste, Amélie Heldt ve Clara Iglesias Keller (Oxford: Hart Publishing, 2022), 81–101, özellikle 91 vd.; Giovanni De Gregorio, “From Constitutional Freedoms to the Power of the Platforms: Protecting Fundamental Rights Online in the Algorithmic Society,” </w:t>
      </w:r>
      <w:r w:rsidR="00240C24" w:rsidRPr="00FB467B">
        <w:rPr>
          <w:i/>
          <w:iCs/>
        </w:rPr>
        <w:t>European Journal of Legal Studies</w:t>
      </w:r>
      <w:r w:rsidR="00240C24" w:rsidRPr="00FB467B">
        <w:t xml:space="preserve"> 11, no. 2 (2019): 65–103, özellikle 87; Nicolas Suzor, “The Responsibilities of Platforms: A New Constitutionalism to Promote the Legitimacy of Decentralised Governance” (Association of Internet Researchers Annual Conference, Berlin, 5–8 Ekim 2016), https://spir.aoir.org/ojs/index.php/spir/article/view/9055/pdf. Kavramların ayrıntılı bir çözümlemesi için bkz. Dilara Dönmezkuş, </w:t>
      </w:r>
      <w:r w:rsidR="00240C24" w:rsidRPr="00FB467B">
        <w:rPr>
          <w:i/>
          <w:iCs/>
        </w:rPr>
        <w:t>Dijital Anayasacılık: Algoritmik Toplumda Aktörler ve Temel Haklar</w:t>
      </w:r>
      <w:r w:rsidR="00240C24" w:rsidRPr="00FB467B">
        <w:t xml:space="preserve"> (doktora tezi, Ankara Üniversitesi Sosyal Bilimler Enstitüsü, 2025), 166–176.</w:t>
      </w:r>
    </w:p>
  </w:footnote>
  <w:footnote w:id="22">
    <w:p w14:paraId="5596589C" w14:textId="746C95F7" w:rsidR="004F6B28" w:rsidRPr="00FB467B" w:rsidRDefault="004F6B28" w:rsidP="00FB467B">
      <w:pPr>
        <w:pStyle w:val="DipnotMetni"/>
        <w:jc w:val="both"/>
      </w:pPr>
      <w:r w:rsidRPr="00FB467B">
        <w:rPr>
          <w:rStyle w:val="DipnotBavurusu"/>
        </w:rPr>
        <w:footnoteRef/>
      </w:r>
      <w:r w:rsidRPr="00FB467B">
        <w:t xml:space="preserve"> </w:t>
      </w:r>
      <w:r w:rsidR="00240C24" w:rsidRPr="00FB467B">
        <w:t xml:space="preserve">Nicolas Suzor, “Digital Constitutionalism: Using the Rule of Law to Evaluate the Legitimacy of Governance by Platforms,” </w:t>
      </w:r>
      <w:r w:rsidR="00240C24" w:rsidRPr="00FB467B">
        <w:rPr>
          <w:i/>
          <w:iCs/>
        </w:rPr>
        <w:t>Social Media + Society</w:t>
      </w:r>
      <w:r w:rsidR="00240C24" w:rsidRPr="00FB467B">
        <w:t xml:space="preserve"> 4, no. 3 (2018): 1–11; Oreste Pollicino, “The Quadrangular Shape of the Geometry of Digital Power(s) and the Move towards a Procedural Digital Constitutionalism,” </w:t>
      </w:r>
      <w:r w:rsidR="00240C24" w:rsidRPr="00FB467B">
        <w:rPr>
          <w:i/>
          <w:iCs/>
        </w:rPr>
        <w:t>European Law Journal</w:t>
      </w:r>
      <w:r w:rsidR="00240C24" w:rsidRPr="00FB467B">
        <w:t xml:space="preserve"> 29, no. 1–2 (2023): 10–30.</w:t>
      </w:r>
    </w:p>
  </w:footnote>
  <w:footnote w:id="23">
    <w:p w14:paraId="3770214A" w14:textId="1A2588C1" w:rsidR="00224B8B" w:rsidRDefault="00224B8B">
      <w:pPr>
        <w:pStyle w:val="DipnotMetni"/>
      </w:pPr>
      <w:r>
        <w:rPr>
          <w:rStyle w:val="DipnotBavurusu"/>
        </w:rPr>
        <w:footnoteRef/>
      </w:r>
      <w:r>
        <w:t xml:space="preserve"> Bkz. Kaplan Arık, 713-15.</w:t>
      </w:r>
    </w:p>
  </w:footnote>
  <w:footnote w:id="24">
    <w:p w14:paraId="472D417A" w14:textId="39BD305F" w:rsidR="00A571A0" w:rsidRPr="00FB467B" w:rsidRDefault="00A571A0" w:rsidP="00FB467B">
      <w:pPr>
        <w:pStyle w:val="DipnotMetni"/>
        <w:jc w:val="both"/>
      </w:pPr>
      <w:r w:rsidRPr="00FB467B">
        <w:rPr>
          <w:rStyle w:val="DipnotBavurusu"/>
        </w:rPr>
        <w:footnoteRef/>
      </w:r>
      <w:r w:rsidRPr="00FB467B">
        <w:t xml:space="preserve"> </w:t>
      </w:r>
      <w:r w:rsidR="00240C24" w:rsidRPr="00FB467B">
        <w:t xml:space="preserve">Lessig, </w:t>
      </w:r>
      <w:r w:rsidR="00240C24" w:rsidRPr="00FB467B">
        <w:rPr>
          <w:i/>
          <w:iCs/>
        </w:rPr>
        <w:t>Code: Version 2.0</w:t>
      </w:r>
      <w:r w:rsidR="00240C24" w:rsidRPr="00FB467B">
        <w:t xml:space="preserve">, özellikle 1. Bölüm. Lessig’in temel savı, dijital ortamda kodun kullanıcıların davranış alanını belirleyen başlıca düzenleyici araçlardan biri olduğudur. Ayrıca bkz. Joel R. Reidenberg, “Lex Informatica: The Formulation of Information Policy Rules through Technology,” </w:t>
      </w:r>
      <w:r w:rsidR="00240C24" w:rsidRPr="00FB467B">
        <w:rPr>
          <w:i/>
          <w:iCs/>
        </w:rPr>
        <w:t>Texas Law Review</w:t>
      </w:r>
      <w:r w:rsidR="00240C24" w:rsidRPr="00FB467B">
        <w:t xml:space="preserve"> 76 (1998): </w:t>
      </w:r>
      <w:r w:rsidR="00240C24">
        <w:t>572.</w:t>
      </w:r>
    </w:p>
  </w:footnote>
  <w:footnote w:id="25">
    <w:p w14:paraId="30302BE5" w14:textId="7AB9D730" w:rsidR="00957BB6" w:rsidRPr="00FB467B" w:rsidRDefault="00957BB6" w:rsidP="00FB467B">
      <w:pPr>
        <w:pStyle w:val="DipnotMetni"/>
        <w:jc w:val="both"/>
      </w:pPr>
      <w:r w:rsidRPr="00FB467B">
        <w:rPr>
          <w:rStyle w:val="DipnotBavurusu"/>
        </w:rPr>
        <w:footnoteRef/>
      </w:r>
      <w:r w:rsidRPr="00FB467B">
        <w:t xml:space="preserve"> </w:t>
      </w:r>
      <w:r w:rsidR="00240C24" w:rsidRPr="00FB467B">
        <w:t>Mireille Hildebrandt, “‘Legal by Design’ or ‘Legal Protection by Design</w:t>
      </w:r>
      <w:proofErr w:type="gramStart"/>
      <w:r w:rsidR="00240C24" w:rsidRPr="00FB467B">
        <w:t>’?,</w:t>
      </w:r>
      <w:proofErr w:type="gramEnd"/>
      <w:r w:rsidR="00240C24" w:rsidRPr="00FB467B">
        <w:t xml:space="preserve">” </w:t>
      </w:r>
      <w:r w:rsidR="00240C24" w:rsidRPr="00FB467B">
        <w:rPr>
          <w:i/>
          <w:iCs/>
        </w:rPr>
        <w:t>Law for Computer Scientists and Other Folk</w:t>
      </w:r>
      <w:r w:rsidR="00240C24" w:rsidRPr="00FB467B">
        <w:t xml:space="preserve"> içinde (Oxford: Oxford University Press, 2020), 251–280.</w:t>
      </w:r>
    </w:p>
  </w:footnote>
  <w:footnote w:id="26">
    <w:p w14:paraId="2D816DC9" w14:textId="6565FD8F" w:rsidR="00957BB6" w:rsidRPr="00FB467B" w:rsidRDefault="00957BB6" w:rsidP="00FB467B">
      <w:pPr>
        <w:pStyle w:val="DipnotMetni"/>
        <w:jc w:val="both"/>
      </w:pPr>
      <w:r w:rsidRPr="00FB467B">
        <w:rPr>
          <w:rStyle w:val="DipnotBavurusu"/>
        </w:rPr>
        <w:footnoteRef/>
      </w:r>
      <w:r w:rsidRPr="00FB467B">
        <w:t xml:space="preserve"> </w:t>
      </w:r>
      <w:r w:rsidR="00240C24">
        <w:t>Ayrıntılı</w:t>
      </w:r>
      <w:r w:rsidRPr="00FB467B">
        <w:t xml:space="preserve"> çözümleme için bkz. </w:t>
      </w:r>
      <w:r w:rsidR="001917A7" w:rsidRPr="00FB467B">
        <w:t xml:space="preserve">De Gregorio, </w:t>
      </w:r>
      <w:r w:rsidR="001917A7" w:rsidRPr="00FB467B">
        <w:rPr>
          <w:i/>
          <w:iCs/>
        </w:rPr>
        <w:t>Digital Constitutionalism in Europe</w:t>
      </w:r>
      <w:r w:rsidR="001917A7" w:rsidRPr="00FB467B">
        <w:t>.</w:t>
      </w:r>
    </w:p>
  </w:footnote>
  <w:footnote w:id="27">
    <w:p w14:paraId="4E0CF3D0" w14:textId="5AD59882" w:rsidR="0096323D" w:rsidRPr="00FB467B" w:rsidRDefault="0096323D" w:rsidP="00FB467B">
      <w:pPr>
        <w:pStyle w:val="DipnotMetni"/>
        <w:jc w:val="both"/>
      </w:pPr>
      <w:r w:rsidRPr="00FB467B">
        <w:rPr>
          <w:rStyle w:val="DipnotBavurusu"/>
        </w:rPr>
        <w:footnoteRef/>
      </w:r>
      <w:r w:rsidRPr="00FB467B">
        <w:t xml:space="preserve"> </w:t>
      </w:r>
      <w:r w:rsidR="001917A7" w:rsidRPr="00FB467B">
        <w:t>Avrupa Birliği Dijital Hizmetler Tüzüğü (</w:t>
      </w:r>
      <w:r w:rsidR="001917A7" w:rsidRPr="00FB467B">
        <w:rPr>
          <w:i/>
          <w:iCs/>
        </w:rPr>
        <w:t>Digital Services Act</w:t>
      </w:r>
      <w:r w:rsidR="001917A7" w:rsidRPr="00FB467B">
        <w:t xml:space="preserve">) </w:t>
      </w:r>
      <w:r w:rsidR="001917A7">
        <w:t>-</w:t>
      </w:r>
      <w:r w:rsidR="001917A7" w:rsidRPr="00FB467B">
        <w:t>eksiklikleri olmakla birlikte</w:t>
      </w:r>
      <w:r w:rsidR="001917A7">
        <w:t>-</w:t>
      </w:r>
      <w:r w:rsidR="001917A7" w:rsidRPr="00FB467B">
        <w:t xml:space="preserve"> bu yaklaşımın pozitif hukuktaki kısmi bir görünümünü oluşturmaktadır. Tüzük, çok büyük çevrim içi platformların ve çok büyük çevrim içi arama motorlarının temel haklar, kamusal tartışma ve seçim süreçleri üzerindeki sistemik riskleri değerlendirmesini; bu değerlendirmede tavsiye sistemleri ve diğer algoritmik sistemlerin tasarımını dikkate almasını öngörmektedir. Ayrıca risklerin azaltılması amacıyla hizmetin tasarımının, özelliklerinin ve işleyişinin uyarlanması ile algoritmik sistemlerin, özellikle tavsiye sistemlerinin test edilmesi ve değiştirilmesi mümkün kılınmaktadır. Bununla birlikte bu hükümler, genel ve tamamlanmış bir hakların tasarım yoluyla korunması rejimi olarak değil, platform mimarisinin temel haklar ve demokratik süreçler bakımından denetlenebileceğini kabul eden önemli bir normatif başlangıç olarak değerlendirilmelidir. Bkz. Regulation (EU) 2022/2065 of the European Parliament and of the Council of 19 October 2022 on a Single Market for Digital Services and amending Directive 2000/31/EC (Digital Services Act), OJ L 277, 27 Ekim 2022, 1–102, özellikle m. 27, 34 ve 35.</w:t>
      </w:r>
    </w:p>
  </w:footnote>
  <w:footnote w:id="28">
    <w:p w14:paraId="00C357FD" w14:textId="387ABDF2" w:rsidR="00966606" w:rsidRPr="00FB467B" w:rsidRDefault="00966606" w:rsidP="00FB467B">
      <w:pPr>
        <w:pStyle w:val="DipnotMetni"/>
        <w:jc w:val="both"/>
      </w:pPr>
      <w:r w:rsidRPr="00FB467B">
        <w:rPr>
          <w:rStyle w:val="DipnotBavurusu"/>
        </w:rPr>
        <w:footnoteRef/>
      </w:r>
      <w:r w:rsidRPr="00FB467B">
        <w:t xml:space="preserve"> </w:t>
      </w:r>
      <w:r w:rsidR="001917A7" w:rsidRPr="00FB467B">
        <w:t>Bu eleştiriye ilişkin ayrıntılı inceleme için bkz. Monika Zalnieriute, Lyria Bennett Moses ve George Williams, “The Rule of Law ‘By Design</w:t>
      </w:r>
      <w:proofErr w:type="gramStart"/>
      <w:r w:rsidR="001917A7" w:rsidRPr="00FB467B">
        <w:t>’?,</w:t>
      </w:r>
      <w:proofErr w:type="gramEnd"/>
      <w:r w:rsidR="001917A7" w:rsidRPr="00FB467B">
        <w:t xml:space="preserve">” </w:t>
      </w:r>
      <w:r w:rsidR="001917A7" w:rsidRPr="00FB467B">
        <w:rPr>
          <w:i/>
          <w:iCs/>
        </w:rPr>
        <w:t>Tulane Law Review</w:t>
      </w:r>
      <w:r w:rsidR="001917A7" w:rsidRPr="00FB467B">
        <w:t xml:space="preserve"> 95, no. 5 (2021): 1063–1101.</w:t>
      </w:r>
    </w:p>
  </w:footnote>
  <w:footnote w:id="29">
    <w:p w14:paraId="6A1FA0F2" w14:textId="33A8F61A" w:rsidR="00726A7A" w:rsidRPr="00FB467B" w:rsidRDefault="00726A7A" w:rsidP="00FB467B">
      <w:pPr>
        <w:pStyle w:val="DipnotMetni"/>
        <w:jc w:val="both"/>
      </w:pPr>
      <w:r w:rsidRPr="00FB467B">
        <w:rPr>
          <w:rStyle w:val="DipnotBavurusu"/>
        </w:rPr>
        <w:footnoteRef/>
      </w:r>
      <w:r w:rsidRPr="00FB467B">
        <w:t xml:space="preserve"> </w:t>
      </w:r>
      <w:r w:rsidR="001917A7" w:rsidRPr="00FB467B">
        <w:t xml:space="preserve">Frederick Mostert, “‘Digital Due Process’: A Need for Online Justice,” </w:t>
      </w:r>
      <w:r w:rsidR="001917A7" w:rsidRPr="00FB467B">
        <w:rPr>
          <w:i/>
          <w:iCs/>
        </w:rPr>
        <w:t>Journal of Intellectual Property Law and Practice</w:t>
      </w:r>
      <w:r w:rsidR="001917A7" w:rsidRPr="00FB467B">
        <w:t xml:space="preserve"> 15, no. 5 (2020): 378–389; Giancarlo Frosio ve Christophe Geiger, “Taking Fundamental Rights Seriously in the Digital Services Act’s Platform Liability Regime,” </w:t>
      </w:r>
      <w:r w:rsidR="001917A7" w:rsidRPr="00FB467B">
        <w:rPr>
          <w:i/>
          <w:iCs/>
        </w:rPr>
        <w:t>European Law Journal</w:t>
      </w:r>
      <w:r w:rsidR="001917A7" w:rsidRPr="00FB467B">
        <w:t xml:space="preserve"> 29, no. 1–2 (2023): 31–77; Suzor, “Digital Constitutionalism,” 1–11; Pollicino, “The Quadrangular Shape,” 10–30. Ayrıca bkz. Digital Services Act, m. 17, 20, 21, 34–37. Tüzüğün gerekçe bildirme, iç şikâyet, insan incelemesi, bağımsız uyuşmazlık çözümü, risk değerlendirmesi ve bağımsız denetim hükümleri bu yönde önemli bir normatif başlangıç teşkil etmektedir.</w:t>
      </w:r>
    </w:p>
  </w:footnote>
  <w:footnote w:id="30">
    <w:p w14:paraId="3E6FE42F" w14:textId="34FAC895" w:rsidR="0023682C" w:rsidRPr="00FB467B" w:rsidRDefault="0023682C" w:rsidP="00FB467B">
      <w:pPr>
        <w:pStyle w:val="DipnotMetni"/>
        <w:jc w:val="both"/>
      </w:pPr>
      <w:r w:rsidRPr="00FB467B">
        <w:rPr>
          <w:rStyle w:val="DipnotBavurusu"/>
        </w:rPr>
        <w:footnoteRef/>
      </w:r>
      <w:r w:rsidRPr="00FB467B">
        <w:t xml:space="preserve"> </w:t>
      </w:r>
      <w:r w:rsidR="001917A7" w:rsidRPr="00FB467B">
        <w:t xml:space="preserve">Nitekim literatürde Papakonstantinou ve De Hert, AB’nin dijital çağda “act-ification” ve “regulatory brutality” olarak adlandırdıkları yaklaşımlarla sürekli yeni hukuki metinler üretmesinin, hakların özünü korumaktan ziyade kurumsal bir güç gösterisine dönüştüğünü savunmaktadır. Bkz. Vagelis Papakonstantinou ve Paul De Hert, “The Regulation of Digital Technologies in the EU: The Law-Making Phenomena of ‘Act-ification’, ‘GDPR Mimesis’ and ‘EU Law Brutality’,” </w:t>
      </w:r>
      <w:r w:rsidR="001917A7" w:rsidRPr="00FB467B">
        <w:rPr>
          <w:i/>
          <w:iCs/>
        </w:rPr>
        <w:t>Technology and Regulation</w:t>
      </w:r>
      <w:r w:rsidR="001917A7" w:rsidRPr="00FB467B">
        <w:t xml:space="preserve"> 2022 (21 Mayıs 2022): 48–60; ayrıca bkz. Vagelis Papakonstantinou ve Paul De Hert, </w:t>
      </w:r>
      <w:r w:rsidR="001917A7" w:rsidRPr="00FB467B">
        <w:rPr>
          <w:i/>
          <w:iCs/>
        </w:rPr>
        <w:t>The Regulation of Digital Technologies in the EU: Act-ification, GDPR Mimesis and EU Law Brutality at Play</w:t>
      </w:r>
      <w:r w:rsidR="001917A7" w:rsidRPr="00FB467B">
        <w:t xml:space="preserve"> (London: Routledge, 2024). Avrupa’da bu yaklaşımın pozitif hukuktaki karşılığı, tek bir çerçeve düzenleme değil, ardışık biçimde kabul edilen bağımsız normatif düzenlemeler dizisidir. Söz konusu araçlar birlikte okunduğunda, farklı iktidar biçimlerini ayrı eksenlerde usulîleştiren bir bütün ortaya çıkmaktadır: DSA içerik moderasyonunu ve sistemik risk yönetimini, Yapay Zekâ Yasası şeffaflık ve insan gözetimi yükümlülükleri aracılığıyla algoritmik karar almayı, DMA kapı bekçisi konumundan doğan piyasa gücünü, P2B Tüzüğü sıralama parametrelerinin açıklanması yoluyla algoritmik görünürlüğü, GDPR otomatik karar alma ve profilleme karşısındaki güvenceler ile tasarımdan itibaren koruma ilkesi üzerinden veri işleme mimarisini, Siyasi Reklamcılık Tüzüğü ise seçimsel bilgi ekosistemini düzenlemektedir. AB dışında Birleşik Krallık Çevrimiçi Güvenlik Yasası benzer biçimde “sistem ve süreç” yükümlülükleri öngörmekte; Almanya’daki NetzDG ise hızlı kaldırmaya odaklanan, usulî güvenceler bakımından zayıf kalan bir erken model olarak anılmaktadır. Bu bütünün ortak yönelimi, sorumluluğun ihlal sonrasına bağlandığı </w:t>
      </w:r>
      <w:r w:rsidR="001917A7" w:rsidRPr="00FB467B">
        <w:rPr>
          <w:i/>
          <w:iCs/>
        </w:rPr>
        <w:t>ex post</w:t>
      </w:r>
      <w:r w:rsidR="001917A7" w:rsidRPr="00FB467B">
        <w:t xml:space="preserve"> modelden, mimarinin kendisini denetime açan </w:t>
      </w:r>
      <w:r w:rsidR="001917A7" w:rsidRPr="00FB467B">
        <w:rPr>
          <w:i/>
          <w:iCs/>
        </w:rPr>
        <w:t>ex ante</w:t>
      </w:r>
      <w:r w:rsidR="001917A7" w:rsidRPr="00FB467B">
        <w:t xml:space="preserve"> altyapısal hesap verebilirliğe geçiştir. Bununla birlikte “act-ification” ya da “regulatory brutality” olgusu, bu çalışmanın savunduğu usulî anayasacılık yaklaşımıyla özdeşleştirilemez. Anayasal bakımdan belirleyici olan, düzenleyici araçların çokluğu değil, bu araçların algoritmik iktidarın etkili biçimde sorgulanmasına ve sınırlandırılmasına imkân verip vermediğidir. ABD’de ise buna denk bir federal çerçeve bulunmamaktadır. Yaklaşım parçalıdır ve platform takdirini sınırlamaktan çok korumaya eğilimlidir. Anılan düzenlemeler için bkz. Regulation (EU) 2022/2065 (Digital Services Act), OJ L 277, 27 Ekim 2022, m. 17, 20, 34–35; Regulation (EU) 2024/1689 (Artificial Intelligence Act), OJ L, 12 Temmuz 2024, m. 13, 14 ve 50; Regulation (EU) 2022/1925 (Digital Markets Act), OJ L 265, 12 Ekim 2022; Regulation (EU) 2019/1150 (Platform-to-Business), OJ L 186, 11 Temmuz 2019, m. 5; Regulation (EU) 2016/679 (General Data Protection Regulation), OJ L 119, 4 Mayıs 2016, m. 22 ve 25; Regulation (EU) 2024/900, OJ L, 20 Mart 2024; Online Safety Act 2023 (Birleşik Krallık), c. 50; Netzwerkdurchsetzungsgesetz (NetzDG), 1 Eylül 2017, BGBl. I S. 3352; 47 U.S.C. § 230; 17 U.S.C. § 512; Federal Trade Commission Act § 5, 15 U.S.C. § 45; Moody v. NetChoice, LLC, 603 U.S. 707 (2024); </w:t>
      </w:r>
      <w:r w:rsidR="001917A7" w:rsidRPr="00FB467B">
        <w:rPr>
          <w:i/>
          <w:iCs/>
        </w:rPr>
        <w:t>Santa Clara Principles on Transparency and Accountability in Content Moderation</w:t>
      </w:r>
      <w:r w:rsidR="001917A7" w:rsidRPr="00FB467B">
        <w:t xml:space="preserve"> (2018; gözden geçirilmiş metin, 2021)</w:t>
      </w:r>
      <w:r w:rsidR="001917A7">
        <w:t>.</w:t>
      </w:r>
    </w:p>
  </w:footnote>
  <w:footnote w:id="31">
    <w:p w14:paraId="7AB240F6" w14:textId="0BC75C89" w:rsidR="0023682C" w:rsidRPr="00FB467B" w:rsidRDefault="0023682C" w:rsidP="00FB467B">
      <w:pPr>
        <w:pStyle w:val="DipnotMetni"/>
        <w:jc w:val="both"/>
      </w:pPr>
      <w:r w:rsidRPr="00FB467B">
        <w:rPr>
          <w:rStyle w:val="DipnotBavurusu"/>
        </w:rPr>
        <w:footnoteRef/>
      </w:r>
      <w:r w:rsidRPr="00FB467B">
        <w:t xml:space="preserve"> </w:t>
      </w:r>
      <w:r w:rsidR="001917A7" w:rsidRPr="00FB467B">
        <w:t xml:space="preserve">Monika Zalnieriute, “Against Procedural Fetishism: A Call for a New Digital Constitution,” </w:t>
      </w:r>
      <w:r w:rsidR="001917A7" w:rsidRPr="00FB467B">
        <w:rPr>
          <w:i/>
          <w:iCs/>
        </w:rPr>
        <w:t>Indiana Journal of Global Legal Studies</w:t>
      </w:r>
      <w:r w:rsidR="001917A7" w:rsidRPr="00FB467B">
        <w:t xml:space="preserve"> 30, no. 2 (2023): 227–264; Pollicino, “The Quadrangular Shape,” 10–30.</w:t>
      </w:r>
    </w:p>
  </w:footnote>
  <w:footnote w:id="32">
    <w:p w14:paraId="1FEB9DB8" w14:textId="1ED2FBC1" w:rsidR="00966606" w:rsidRPr="00FB467B" w:rsidRDefault="00966606" w:rsidP="00FB467B">
      <w:pPr>
        <w:pStyle w:val="DipnotMetni"/>
        <w:jc w:val="both"/>
      </w:pPr>
      <w:r w:rsidRPr="00FB467B">
        <w:rPr>
          <w:rStyle w:val="DipnotBavurusu"/>
        </w:rPr>
        <w:footnoteRef/>
      </w:r>
      <w:r w:rsidR="001917A7">
        <w:t xml:space="preserve"> </w:t>
      </w:r>
      <w:r w:rsidR="001917A7" w:rsidRPr="00FB467B">
        <w:t xml:space="preserve">Bkz. Monika Zalnieriute, “From Procedural Fetishism to Substantive Due Process in AI Governance and Digital Constitutionalism,” </w:t>
      </w:r>
      <w:r w:rsidR="001917A7" w:rsidRPr="00FB467B">
        <w:rPr>
          <w:i/>
          <w:iCs/>
        </w:rPr>
        <w:t>Artificial Intelligence and the Rule of Law</w:t>
      </w:r>
      <w:r w:rsidR="001917A7" w:rsidRPr="00FB467B">
        <w:t xml:space="preserve"> içinde, ed. Armando Aliu (Cham: Palgrave Macmillan, 2025), 97–129.</w:t>
      </w:r>
    </w:p>
  </w:footnote>
  <w:footnote w:id="33">
    <w:p w14:paraId="3BBCB193" w14:textId="1A45F9B8" w:rsidR="0023682C" w:rsidRPr="00FB467B" w:rsidRDefault="0023682C" w:rsidP="00FB467B">
      <w:pPr>
        <w:pStyle w:val="DipnotMetni"/>
        <w:jc w:val="both"/>
      </w:pPr>
      <w:r w:rsidRPr="00FB467B">
        <w:rPr>
          <w:rStyle w:val="DipnotBavurusu"/>
        </w:rPr>
        <w:footnoteRef/>
      </w:r>
      <w:r w:rsidRPr="00FB467B">
        <w:t xml:space="preserve"> </w:t>
      </w:r>
      <w:r w:rsidRPr="00A773D7">
        <w:t>Dijital Hizmetler Tüzüğü’nün bireysel başvuru mekanizmalarını sistemik risk değerlendirmesi ve mimari düzeyde risk azaltma yükümlülükleriyle birlikte düzenlemesi, bu iki düzeyli yaklaşımın normatif dayanaklarından biri olarak okunabilir</w:t>
      </w:r>
      <w:r w:rsidRPr="00FB467B">
        <w:t>. Bkz. Digital Services Act, m. 17, 21, 31, 34, 35, 37.</w:t>
      </w:r>
    </w:p>
  </w:footnote>
  <w:footnote w:id="34">
    <w:p w14:paraId="54D02343" w14:textId="3E22C3ED" w:rsidR="00FA0582" w:rsidRPr="00FB467B" w:rsidRDefault="00FA0582" w:rsidP="00FB467B">
      <w:pPr>
        <w:pStyle w:val="DipnotMetni"/>
        <w:jc w:val="both"/>
      </w:pPr>
      <w:r w:rsidRPr="00FB467B">
        <w:rPr>
          <w:rStyle w:val="DipnotBavurusu"/>
        </w:rPr>
        <w:footnoteRef/>
      </w:r>
      <w:r w:rsidRPr="00FB467B">
        <w:t xml:space="preserve"> </w:t>
      </w:r>
      <w:r w:rsidR="001917A7" w:rsidRPr="00FB467B">
        <w:t xml:space="preserve">Paul Schiff Berman, “Cyberspace and the State Action Debate: The Cultural Value of Applying Constitutional Norms to ‘Private’ Regulation,” </w:t>
      </w:r>
      <w:r w:rsidR="001917A7" w:rsidRPr="00FB467B">
        <w:rPr>
          <w:i/>
          <w:iCs/>
        </w:rPr>
        <w:t>University of Colorado Law Review</w:t>
      </w:r>
      <w:r w:rsidR="001917A7" w:rsidRPr="00FB467B">
        <w:t xml:space="preserve"> 71 (2000): 1263–1310, özellikle 1269 vd. Tarihsel süreçte Federal Yüksek Mahkeme, özel mülkiyetin kamusal işlev gördüğü durumlarda ifade özgürlüğünün korunabileceğine hükmederek Marsh v. Alabama, 326 U.S. 501, 506 (1946) kararıyla yerleşik öğretiye nadir bir istisna getirmiştir. Ne var ki yargısal eğilim zamanla tersine dönmüştür. Manhattan Community Access Corp. v. Halleck, 587 U.S. 802 (2019) kararıyla Mahkeme, kamusal erişim kanalı işleten özel özneleri bile devlet eylemi sınırlarının dışında tutmuş ve daraltıcı yorumu pekiştirmiştir. Son olarak Moody v. NetChoice, LLC, 603 U.S. 707 (2024) kararında da Mahkeme, platformların içerik kürasyonunu editoryal takdir kapsamında ve Birinci Değişiklik (</w:t>
      </w:r>
      <w:r w:rsidR="001917A7" w:rsidRPr="00FB467B">
        <w:rPr>
          <w:i/>
          <w:iCs/>
        </w:rPr>
        <w:t>First Amendment</w:t>
      </w:r>
      <w:r w:rsidR="001917A7" w:rsidRPr="00FB467B">
        <w:t>) koruması altında değerlendirmiştir. Bu durum, anayasal ifade özgürlüğünün platform iktidarını denetleme aracı olmaktan çıkıp, platformların devlet müdahalesine karşı kendilerini savundukları bir kalkana dönüştüğünü göstermektedir.</w:t>
      </w:r>
    </w:p>
  </w:footnote>
  <w:footnote w:id="35">
    <w:p w14:paraId="2CB2F141" w14:textId="05F88E70" w:rsidR="00FA0582" w:rsidRPr="00FB467B" w:rsidRDefault="00FA0582" w:rsidP="00FB467B">
      <w:pPr>
        <w:pStyle w:val="DipnotMetni"/>
        <w:jc w:val="both"/>
      </w:pPr>
      <w:r w:rsidRPr="00FB467B">
        <w:rPr>
          <w:rStyle w:val="DipnotBavurusu"/>
        </w:rPr>
        <w:footnoteRef/>
      </w:r>
      <w:r w:rsidRPr="00FB467B">
        <w:t xml:space="preserve"> </w:t>
      </w:r>
      <w:r w:rsidR="001917A7" w:rsidRPr="00FB467B">
        <w:t>Bu kavramın karşılaştırmalı dayanağı, devlet eylemi doktrininin karşı kutbunda yer alan ve Alman anayasa hukukunda geliştirilerek Kıta Avrupası hukuk düzenlerine yayılan yatay etki (</w:t>
      </w:r>
      <w:r w:rsidR="001917A7" w:rsidRPr="00FB467B">
        <w:rPr>
          <w:i/>
          <w:iCs/>
        </w:rPr>
        <w:t>Drittwirkung</w:t>
      </w:r>
      <w:r w:rsidR="001917A7" w:rsidRPr="00FB467B">
        <w:t xml:space="preserve">) öğretisinde bulunmaktadır. Öğretinin kurucu halkası olan Lüth kararı, temel hakları yalnızca devlete karşı ileri sürülen savunma hakları olarak değil, tüm hukuk düzenine yayılan ve özel hukukun genel hükümlerinin yorumuna nüfuz eden nesnel bir değerler düzeni olarak kurmuştur. Bkz. BVerfG, 1 BvR 400/51, 15 Ocak 1958, BVerfGE 7, 198 (Lüth); ayrıca bkz. Stephen Gardbaum, “The ‘Horizontal Effect’ of Constitutional Rights,” </w:t>
      </w:r>
      <w:r w:rsidR="001917A7" w:rsidRPr="00FB467B">
        <w:rPr>
          <w:i/>
          <w:iCs/>
        </w:rPr>
        <w:t>Michigan Law Review</w:t>
      </w:r>
      <w:r w:rsidR="001917A7" w:rsidRPr="00FB467B">
        <w:t xml:space="preserve"> 102 (2003): 387–459. Stadionverbot kararı bu çizgiyi, öznesi bakımından belirleyici bir adım ileri taşımış; geniş kitlelere açık etkinliklere erişimi denetleyen özel aktörlerin eşit muamele ilkesinden doğan özel yükümlülükler taşıdığına ve keyfî dışlamalarda bulunamayacağına hükmetmiştir. Bkz. BVerfG, 1 BvR 3080/09, 11 Nisan 2018, Rn. 40 vd. Nihayet Federal Yüksek Mahkeme, 2021 tarihli Facebook kararlarında bu ilkeleri doğrudan platformlara uygulamış; platformların hizmet şartları uyarınca içerik kaldırma ve hesap askıya alma yetkisine sahip olabileceğini kabul etmekle birlikte, dolaylı yatay etki gereği kullanıcıların ifade özgürlüğünü gözetmek, kaldırma kararlarını gerekçelendirmek ve etkilenen kullanıcıya bildirimde bulunarak yeniden değerlendirme imkânı tanımak zorunda olduklarını belirtmiştir. Bkz. BGH, III ZR 179/20 ve III ZR 192/20, 29 Temmuz 2021. Bu üç karar birlikte okunduğunda, yatay etkinin giderek somutlaştığı bir seyir görünür hâle gelmektedir.</w:t>
      </w:r>
    </w:p>
  </w:footnote>
  <w:footnote w:id="36">
    <w:p w14:paraId="27441366" w14:textId="1D2BBBF8" w:rsidR="00354970" w:rsidRPr="00FB467B" w:rsidRDefault="00354970" w:rsidP="00FB467B">
      <w:pPr>
        <w:pStyle w:val="DipnotMetni"/>
        <w:jc w:val="both"/>
      </w:pPr>
      <w:r w:rsidRPr="00FB467B">
        <w:rPr>
          <w:rStyle w:val="DipnotBavurusu"/>
        </w:rPr>
        <w:footnoteRef/>
      </w:r>
      <w:r w:rsidRPr="00FB467B">
        <w:t xml:space="preserve"> </w:t>
      </w:r>
      <w:r w:rsidR="001917A7" w:rsidRPr="00FB467B">
        <w:t xml:space="preserve">AİHM, </w:t>
      </w:r>
      <w:r w:rsidR="001917A7" w:rsidRPr="00FB467B">
        <w:rPr>
          <w:i/>
          <w:iCs/>
        </w:rPr>
        <w:t>Delfi AS v. Estonya</w:t>
      </w:r>
      <w:r w:rsidR="001917A7" w:rsidRPr="00FB467B">
        <w:t xml:space="preserve"> [BD], No. 64569/09, 16 Haziran 2015, özellikle §§ 115–116, 142–162; AİHM, </w:t>
      </w:r>
      <w:r w:rsidR="001917A7" w:rsidRPr="00FB467B">
        <w:rPr>
          <w:i/>
          <w:iCs/>
        </w:rPr>
        <w:t>Magyar Tartalomszolgáltatók Egyesülete ve Index.hu Zrt v. Macaristan</w:t>
      </w:r>
      <w:r w:rsidR="001917A7" w:rsidRPr="00FB467B">
        <w:t xml:space="preserve">, No. 22947/13, 2 Şubat 2016, özellikle §§ 69, 82 vd.; AİHM, </w:t>
      </w:r>
      <w:r w:rsidR="001917A7" w:rsidRPr="00FB467B">
        <w:rPr>
          <w:i/>
          <w:iCs/>
        </w:rPr>
        <w:t>Sanchez v. Fransa</w:t>
      </w:r>
      <w:r w:rsidR="001917A7" w:rsidRPr="00FB467B">
        <w:t xml:space="preserve"> [BD], No. 45581/15, 15 Mayıs 2023. Sanchez kararında Büyük Daire, sorumluluğun ilgili aktörlerin nesnel durumuna göre paylaşılması ve kademelendirilmesi gerektiğini belirtmiş; değerlendirmesini başvurucunun siyasetçi olması, hesabın seçim kampanyası kapsamında ve herkese açık biçimde kullanılması, yorumların açıkça hukuka aykırı niteliği ve başvurucunun hesap üzerindeki kontrolüyle sınırlandırmıştır.</w:t>
      </w:r>
    </w:p>
  </w:footnote>
  <w:footnote w:id="37">
    <w:p w14:paraId="088E1089" w14:textId="2C4DB1BB" w:rsidR="00354970" w:rsidRPr="00FB467B" w:rsidRDefault="00354970" w:rsidP="00FB467B">
      <w:pPr>
        <w:pStyle w:val="DipnotMetni"/>
        <w:jc w:val="both"/>
      </w:pPr>
      <w:r w:rsidRPr="00FB467B">
        <w:rPr>
          <w:rStyle w:val="DipnotBavurusu"/>
        </w:rPr>
        <w:footnoteRef/>
      </w:r>
      <w:r w:rsidRPr="00FB467B">
        <w:t xml:space="preserve"> </w:t>
      </w:r>
      <w:r w:rsidR="00A86516" w:rsidRPr="00FB467B">
        <w:rPr>
          <w:i/>
          <w:iCs/>
        </w:rPr>
        <w:t>Appleby and Others v. the United Kingdom</w:t>
      </w:r>
      <w:r w:rsidR="00A86516" w:rsidRPr="00FB467B">
        <w:t xml:space="preserve">, no. 44306/98, 6 Mayıs 2003, §§ 39–40, 47; </w:t>
      </w:r>
      <w:r w:rsidR="00A86516" w:rsidRPr="00FB467B">
        <w:rPr>
          <w:i/>
          <w:iCs/>
        </w:rPr>
        <w:t>Dink v. Turkey</w:t>
      </w:r>
      <w:r w:rsidR="00A86516" w:rsidRPr="00FB467B">
        <w:t xml:space="preserve">, nos. 2668/07, 6102/08, 30079/08, 7072/09 ve 7124/09, 14 Eylül 2010, § 137. </w:t>
      </w:r>
      <w:r w:rsidR="00A86516" w:rsidRPr="00FB467B">
        <w:rPr>
          <w:i/>
          <w:iCs/>
        </w:rPr>
        <w:t>Appleby</w:t>
      </w:r>
      <w:r w:rsidR="00A86516" w:rsidRPr="00FB467B">
        <w:t xml:space="preserve"> kararında Mahkeme somut olayda ihlal bulmamış; ancak özel mülkiyete erişim engelinin ifade özgürlüğünün etkili kullanımını bütünüyle önlediği veya hakkın özünü ortadan kaldırdığı hâllerde devletin pozitif yükümlülüğünün doğabileceğini kabul etmiştir. </w:t>
      </w:r>
    </w:p>
  </w:footnote>
  <w:footnote w:id="38">
    <w:p w14:paraId="3EBD02E5" w14:textId="2E73AFA4" w:rsidR="00A86516" w:rsidRPr="00FB467B" w:rsidRDefault="00A86516" w:rsidP="00FB467B">
      <w:pPr>
        <w:pStyle w:val="DipnotMetni"/>
        <w:jc w:val="both"/>
      </w:pPr>
      <w:r w:rsidRPr="00FB467B">
        <w:rPr>
          <w:rStyle w:val="DipnotBavurusu"/>
        </w:rPr>
        <w:footnoteRef/>
      </w:r>
      <w:r w:rsidRPr="00FB467B">
        <w:t xml:space="preserve"> </w:t>
      </w:r>
      <w:r w:rsidR="001917A7" w:rsidRPr="00FB467B">
        <w:t xml:space="preserve">AİHM’in aracı sorumluluğuna ilişkin içtihadının gelişimi ve üçüncü kişi içerikleri bakımından platformlarla bireysel hesap yöneticilerinin farklılaştırılması yaklaşımı hakkında bkz. Feyza Ölçek, “Dijitalleşme ve İfade Özgürlüğü: İfadeye Yeni Bir Sınır </w:t>
      </w:r>
      <w:proofErr w:type="gramStart"/>
      <w:r w:rsidR="001917A7" w:rsidRPr="00FB467B">
        <w:t>mı?,</w:t>
      </w:r>
      <w:proofErr w:type="gramEnd"/>
      <w:r w:rsidR="001917A7" w:rsidRPr="00FB467B">
        <w:t xml:space="preserve">” </w:t>
      </w:r>
      <w:r w:rsidR="001917A7" w:rsidRPr="00FB467B">
        <w:rPr>
          <w:i/>
          <w:iCs/>
        </w:rPr>
        <w:t>Ankara Hacı Bayram Veli Üniversitesi Hukuk Fakültesi Dergisi</w:t>
      </w:r>
      <w:r w:rsidR="001917A7" w:rsidRPr="00FB467B">
        <w:t xml:space="preserve"> 30, no. 2 (2026): 1095–1160. Bu içtihat “yükümlü aracı” kavramını doğrudan kurmamakta; devletlerin özel aracılara bağlama duyarlı ve ölçülü yükümlülükler getirebileceğinin sınırlarını göstermektedir.</w:t>
      </w:r>
    </w:p>
  </w:footnote>
  <w:footnote w:id="39">
    <w:p w14:paraId="17994863" w14:textId="10D55B9C" w:rsidR="00FB4308" w:rsidRPr="00FB467B" w:rsidRDefault="00FB4308" w:rsidP="00FB467B">
      <w:pPr>
        <w:pStyle w:val="DipnotMetni"/>
        <w:jc w:val="both"/>
      </w:pPr>
      <w:r w:rsidRPr="00FB467B">
        <w:rPr>
          <w:rStyle w:val="DipnotBavurusu"/>
        </w:rPr>
        <w:footnoteRef/>
      </w:r>
      <w:r w:rsidRPr="00FB467B">
        <w:t xml:space="preserve"> </w:t>
      </w:r>
      <w:r w:rsidR="001917A7" w:rsidRPr="00FB467B">
        <w:t xml:space="preserve">Oya Boyar, “Devletin Pozitif Yükümlülükleri ve Dolaylı Yatay Etki,” </w:t>
      </w:r>
      <w:r w:rsidR="001917A7" w:rsidRPr="00FB467B">
        <w:rPr>
          <w:i/>
          <w:iCs/>
        </w:rPr>
        <w:t>İnsan Hakları Avrupa Sözleşmesi ve Anayasa</w:t>
      </w:r>
      <w:r w:rsidR="001917A7" w:rsidRPr="00FB467B">
        <w:t xml:space="preserve"> içinde, ed. Sibel İnceoğlu (Ankara: Avrupa Konseyi, 2013), 53–80; Dilara Dönmezkuş, </w:t>
      </w:r>
      <w:r w:rsidR="001917A7" w:rsidRPr="00FB467B">
        <w:rPr>
          <w:i/>
          <w:iCs/>
        </w:rPr>
        <w:t>Temel Hakların Yatay Etkisi ve İfade Özgürlüğü</w:t>
      </w:r>
      <w:r w:rsidR="001917A7" w:rsidRPr="00FB467B">
        <w:t xml:space="preserve"> (İstanbul: On İki Levha Yayıncılık, 2021), 30 vd. ve 56; Ozan Ergül, “Temel Hak ve Özgürlüklerin Yatay Etkisi Karşısında Çalışanı Ücretini Gizli Tutmakla Yükümlü Kılmanın Hukuksal Temelsizliği Üzerine,” </w:t>
      </w:r>
      <w:r w:rsidR="001917A7" w:rsidRPr="00FB467B">
        <w:rPr>
          <w:i/>
          <w:iCs/>
        </w:rPr>
        <w:t>Prof. Dr. Erdal Onar’a Armağan</w:t>
      </w:r>
      <w:r w:rsidR="001917A7" w:rsidRPr="00FB467B">
        <w:t>, c. 1 içinde (Ankara: Ankara Üniversitesi Yayınları, 2013), 435–487, özellikle 437.</w:t>
      </w:r>
    </w:p>
  </w:footnote>
  <w:footnote w:id="40">
    <w:p w14:paraId="1E935BCD" w14:textId="538690FE" w:rsidR="004F5E95" w:rsidRPr="00FB467B" w:rsidRDefault="004F5E95" w:rsidP="00FB467B">
      <w:pPr>
        <w:pStyle w:val="DipnotMetni"/>
        <w:jc w:val="both"/>
      </w:pPr>
      <w:r w:rsidRPr="00FB467B">
        <w:rPr>
          <w:rStyle w:val="DipnotBavurusu"/>
        </w:rPr>
        <w:footnoteRef/>
      </w:r>
      <w:r w:rsidRPr="00FB467B">
        <w:t xml:space="preserve"> </w:t>
      </w:r>
      <w:r w:rsidR="001917A7" w:rsidRPr="00FB467B">
        <w:t xml:space="preserve">Bu normatif yaklaşım, Avrupa Konseyi Yapay Zekâ ve İnsan Hakları, Demokrasi ve Hukukun Üstünlüğü Çerçeve Sözleşmesi’nin bağlama ve riske göre farklılaştırılmış şeffaflık ve gözetim, hesap verebilirlik, etkili başvuru, usulî güvence ve risk değerlendirmesi yükümlülükleriyle desteklenmektedir. Bkz. Council of Europe, </w:t>
      </w:r>
      <w:r w:rsidR="001917A7" w:rsidRPr="00FB467B">
        <w:rPr>
          <w:i/>
          <w:iCs/>
        </w:rPr>
        <w:t>Framework Convention on Artificial Intelligence and Human Rights, Democracy and the Rule of Law</w:t>
      </w:r>
      <w:r w:rsidR="001917A7" w:rsidRPr="00FB467B">
        <w:t>, CETS No. 225, Vilnius, 5 Eylül 2024, m. 8 (şeffaflık ve gözetim), m. 9 (hesap verebilirlik ve sorumluluk), m. 14 (etkili başvuru yolları ve kararların itiraz edilebilmesi için gerekli bilgi), m. 15 (usulî güvenceler) ve m. 16 (risk ve etki yönetimi). Sözleşme, bu çalışmada önerilen “içerik yerine usul” ayrımını aynı ifadelerle kurmamakta; ancak yaklaşımın şeffaflık, itiraz edilebilirlik ve risk temelli denetim boyutlarına pozitif-hukuki dayanak sağlamaktadır.</w:t>
      </w:r>
    </w:p>
  </w:footnote>
  <w:footnote w:id="41">
    <w:p w14:paraId="5289CBFC" w14:textId="25DD1612" w:rsidR="004F5E95" w:rsidRPr="00FB467B" w:rsidRDefault="004F5E95" w:rsidP="00FB467B">
      <w:pPr>
        <w:pStyle w:val="DipnotMetni"/>
        <w:jc w:val="both"/>
      </w:pPr>
      <w:r w:rsidRPr="00FB467B">
        <w:rPr>
          <w:rStyle w:val="DipnotBavurusu"/>
        </w:rPr>
        <w:footnoteRef/>
      </w:r>
      <w:r w:rsidRPr="00FB467B">
        <w:t xml:space="preserve"> Nitekim Avrupa Birliği Yapay Zekâ Tüzüğü (</w:t>
      </w:r>
      <w:r w:rsidRPr="00FB467B">
        <w:rPr>
          <w:i/>
          <w:iCs/>
        </w:rPr>
        <w:t>Artificial Intelligence Act)</w:t>
      </w:r>
      <w:r w:rsidRPr="00FB467B">
        <w:t>, belirli alanlardaki (kolluk, göç, iltica ve sınır yönetimi) yapay zekâ kullanımlarını yüksek riskli sistemler arasında sınıflandırmakta; kamu hukuku kuruluşu niteliğindeki kullanıcıların bu sistemleri kullanıma almadan önce temel haklar etki değerlendirmesi yapmasını öngörmektedir. Bkz. European Parliament and Council. Regulation (EU) 2024/1689 of 13 June 2024, m. 27, Ek. III.</w:t>
      </w:r>
    </w:p>
  </w:footnote>
  <w:footnote w:id="42">
    <w:p w14:paraId="475249ED" w14:textId="4D3343DF" w:rsidR="004F5E95" w:rsidRPr="00FB467B" w:rsidRDefault="004F5E95" w:rsidP="00FB467B">
      <w:pPr>
        <w:pStyle w:val="DipnotMetni"/>
        <w:jc w:val="both"/>
      </w:pPr>
      <w:r w:rsidRPr="00FB467B">
        <w:rPr>
          <w:rStyle w:val="DipnotBavurusu"/>
        </w:rPr>
        <w:footnoteRef/>
      </w:r>
      <w:r w:rsidRPr="00FB467B">
        <w:t xml:space="preserve"> </w:t>
      </w:r>
      <w:r w:rsidR="00F6113A" w:rsidRPr="00FB467B">
        <w:t>Karşılıklılık, doğrudan mevcut bir düzenlemeden aktarılan bir hukuk kuralı değil, bu çalışmada önerilen normatif bir ilkedir. İlke, aynı yükümlülüklerin devlet ve platformlara mekanik biçimde uygulanmasını değil, karşılaştırılabilir algoritmik iktidar kullanımları bakımından çifte standarttan kaçınılmasını ifade etmektedir.</w:t>
      </w:r>
    </w:p>
  </w:footnote>
  <w:footnote w:id="43">
    <w:p w14:paraId="23BDB61E" w14:textId="058BB42A" w:rsidR="00F6113A" w:rsidRPr="00FB467B" w:rsidRDefault="00F6113A" w:rsidP="00FB467B">
      <w:pPr>
        <w:pStyle w:val="DipnotMetni"/>
        <w:jc w:val="both"/>
      </w:pPr>
      <w:r w:rsidRPr="00FB467B">
        <w:rPr>
          <w:rStyle w:val="DipnotBavurusu"/>
        </w:rPr>
        <w:footnoteRef/>
      </w:r>
      <w:r w:rsidRPr="00FB467B">
        <w:t xml:space="preserve"> United Nations General Assembly, </w:t>
      </w:r>
      <w:r w:rsidRPr="00FB467B">
        <w:rPr>
          <w:i/>
          <w:iCs/>
        </w:rPr>
        <w:t>Principles Relating to the Status of National Institutions (The Paris Principles)</w:t>
      </w:r>
      <w:r w:rsidRPr="00FB467B">
        <w:t>, Resolution 48/134, 20 December 1993.</w:t>
      </w:r>
    </w:p>
  </w:footnote>
  <w:footnote w:id="44">
    <w:p w14:paraId="1A5F0D8F" w14:textId="5034B2AB" w:rsidR="00F6113A" w:rsidRPr="00FB467B" w:rsidRDefault="00F6113A" w:rsidP="00FB467B">
      <w:pPr>
        <w:pStyle w:val="DipnotMetni"/>
        <w:jc w:val="both"/>
      </w:pPr>
      <w:r w:rsidRPr="00FB467B">
        <w:rPr>
          <w:rStyle w:val="DipnotBavurusu"/>
        </w:rPr>
        <w:footnoteRef/>
      </w:r>
      <w:r w:rsidRPr="00FB467B">
        <w:t xml:space="preserve"> </w:t>
      </w:r>
      <w:r w:rsidR="001917A7" w:rsidRPr="00FB467B">
        <w:t xml:space="preserve">Council of Europe, </w:t>
      </w:r>
      <w:r w:rsidR="001917A7" w:rsidRPr="00FB467B">
        <w:rPr>
          <w:i/>
          <w:iCs/>
        </w:rPr>
        <w:t>Framework Convention on Artificial Intelligence and Human Rights, Democracy and the Rule of Law</w:t>
      </w:r>
      <w:r w:rsidR="001917A7" w:rsidRPr="00FB467B">
        <w:t>, CETS No. 225, Vilnius, 5 Eylül 2024, m. 26. Madde, tarafların bir veya birden fazla etkili gözetim mekanizması kurmasını veya belirlemesini; bu mekanizmaların bağımsız ve tarafsız çalışmasını ve görevlerini yerine getirmek için gerekli yetki, uzmanlık ve kaynaklara sahip olmasını öngörmektedir</w:t>
      </w:r>
      <w:r w:rsidR="001917A7">
        <w:t>.</w:t>
      </w:r>
    </w:p>
  </w:footnote>
  <w:footnote w:id="45">
    <w:p w14:paraId="4D56E93A" w14:textId="29FA8252" w:rsidR="00F6113A" w:rsidRPr="00FB467B" w:rsidRDefault="00F6113A" w:rsidP="00FB467B">
      <w:pPr>
        <w:pStyle w:val="DipnotMetni"/>
        <w:jc w:val="both"/>
      </w:pPr>
      <w:r w:rsidRPr="00FB467B">
        <w:rPr>
          <w:rStyle w:val="DipnotBavurusu"/>
        </w:rPr>
        <w:footnoteRef/>
      </w:r>
      <w:r w:rsidRPr="00FB467B">
        <w:t xml:space="preserve"> </w:t>
      </w:r>
      <w:r w:rsidR="001917A7" w:rsidRPr="00FB467B">
        <w:t xml:space="preserve">Venice Commission (European Commission for Democracy through Law), </w:t>
      </w:r>
      <w:r w:rsidR="001917A7" w:rsidRPr="00FB467B">
        <w:rPr>
          <w:i/>
          <w:iCs/>
        </w:rPr>
        <w:t>The Updated Rule of Law Checklist</w:t>
      </w:r>
      <w:r w:rsidR="001917A7" w:rsidRPr="00FB467B">
        <w:t>, CDL-AD(2025)002, 145. Genel Kurul Toplantısı’nda kabul edilmiştir (Venedik, 12–13 Aralık 2025), Strazburg, 16 Aralık 2025, §§ 28–30. Özellikle § 29, kamu makamlarına benzer etkiler doğuran özel iktidarın uygun yasama düzenlemelerine ve etkili yargısal denetime tâbi tutulmasını; özel aktörlere ilişkin düzenlemelerin devletin pozitif yükümlülüklerini yerine getirmesini sağlamasını ve bunun çevrim içi platformlar ile kamusal tartışma bakımından özel önemini vurgulamaktadır. § 30 ise özel yapay zekâ sağlayıcıları için risk ve etki değerlendirmeleri ile yeterli kaynak ve soruşturma yetkilerine sahip bağımsız gözetim organları öngörmektedir.</w:t>
      </w:r>
    </w:p>
  </w:footnote>
  <w:footnote w:id="46">
    <w:p w14:paraId="3F7F7AF9" w14:textId="7A3697E1" w:rsidR="00F6113A" w:rsidRPr="00FB467B" w:rsidRDefault="00F6113A" w:rsidP="00FB467B">
      <w:pPr>
        <w:pStyle w:val="DipnotMetni"/>
        <w:jc w:val="both"/>
      </w:pPr>
      <w:r w:rsidRPr="00FB467B">
        <w:rPr>
          <w:rStyle w:val="DipnotBavurusu"/>
        </w:rPr>
        <w:footnoteRef/>
      </w:r>
      <w:r w:rsidRPr="00FB467B">
        <w:t xml:space="preserve"> </w:t>
      </w:r>
      <w:r w:rsidR="001917A7" w:rsidRPr="00FB467B">
        <w:t xml:space="preserve">Venice Commission, </w:t>
      </w:r>
      <w:r w:rsidR="001917A7" w:rsidRPr="00FB467B">
        <w:rPr>
          <w:i/>
          <w:iCs/>
        </w:rPr>
        <w:t>The Updated Rule of Law Checklist</w:t>
      </w:r>
      <w:r w:rsidR="001917A7" w:rsidRPr="00FB467B">
        <w:t>, CDL-</w:t>
      </w:r>
      <w:proofErr w:type="gramStart"/>
      <w:r w:rsidR="001917A7" w:rsidRPr="00FB467B">
        <w:t>AD(</w:t>
      </w:r>
      <w:proofErr w:type="gramEnd"/>
      <w:r w:rsidR="001917A7" w:rsidRPr="00FB467B">
        <w:t>2025)002, 16 Aralık 2025, §§ 11–13.</w:t>
      </w:r>
    </w:p>
  </w:footnote>
  <w:footnote w:id="47">
    <w:p w14:paraId="7A76D6D9" w14:textId="48382279" w:rsidR="00D11318" w:rsidRPr="00FB467B" w:rsidRDefault="00D11318" w:rsidP="00FB467B">
      <w:pPr>
        <w:pStyle w:val="DipnotMetni"/>
        <w:jc w:val="both"/>
      </w:pPr>
      <w:r w:rsidRPr="00FB467B">
        <w:rPr>
          <w:rStyle w:val="DipnotBavurusu"/>
        </w:rPr>
        <w:footnoteRef/>
      </w:r>
      <w:r w:rsidRPr="00FB467B">
        <w:t xml:space="preserve"> </w:t>
      </w:r>
      <w:r w:rsidR="001917A7" w:rsidRPr="00FB467B">
        <w:t>Zalnieriute, Bennett Moses ve Williams, “The Rule of Law ‘By Design</w:t>
      </w:r>
      <w:proofErr w:type="gramStart"/>
      <w:r w:rsidR="001917A7" w:rsidRPr="00FB467B">
        <w:t>’?,</w:t>
      </w:r>
      <w:proofErr w:type="gramEnd"/>
      <w:r w:rsidR="001917A7" w:rsidRPr="00FB467B">
        <w:t>” 1063–1101; Hildebrandt, “‘Legal by Design’ or ‘Legal Protection by Design’?,” 251–280.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66518"/>
    <w:multiLevelType w:val="hybridMultilevel"/>
    <w:tmpl w:val="1184665A"/>
    <w:lvl w:ilvl="0" w:tplc="EBAE0F64">
      <w:start w:val="1"/>
      <w:numFmt w:val="bullet"/>
      <w:lvlText w:val="●"/>
      <w:lvlJc w:val="left"/>
      <w:pPr>
        <w:ind w:left="720" w:hanging="360"/>
      </w:pPr>
    </w:lvl>
    <w:lvl w:ilvl="1" w:tplc="ECD401E6">
      <w:start w:val="1"/>
      <w:numFmt w:val="bullet"/>
      <w:lvlText w:val="○"/>
      <w:lvlJc w:val="left"/>
      <w:pPr>
        <w:ind w:left="1440" w:hanging="360"/>
      </w:pPr>
    </w:lvl>
    <w:lvl w:ilvl="2" w:tplc="2264C42E">
      <w:start w:val="1"/>
      <w:numFmt w:val="bullet"/>
      <w:lvlText w:val="■"/>
      <w:lvlJc w:val="left"/>
      <w:pPr>
        <w:ind w:left="2160" w:hanging="360"/>
      </w:pPr>
    </w:lvl>
    <w:lvl w:ilvl="3" w:tplc="8B06F94E">
      <w:start w:val="1"/>
      <w:numFmt w:val="bullet"/>
      <w:lvlText w:val="●"/>
      <w:lvlJc w:val="left"/>
      <w:pPr>
        <w:ind w:left="2880" w:hanging="360"/>
      </w:pPr>
    </w:lvl>
    <w:lvl w:ilvl="4" w:tplc="C046B5F2">
      <w:start w:val="1"/>
      <w:numFmt w:val="bullet"/>
      <w:lvlText w:val="○"/>
      <w:lvlJc w:val="left"/>
      <w:pPr>
        <w:ind w:left="3600" w:hanging="360"/>
      </w:pPr>
    </w:lvl>
    <w:lvl w:ilvl="5" w:tplc="BD3C4FC2">
      <w:start w:val="1"/>
      <w:numFmt w:val="bullet"/>
      <w:lvlText w:val="■"/>
      <w:lvlJc w:val="left"/>
      <w:pPr>
        <w:ind w:left="4320" w:hanging="360"/>
      </w:pPr>
    </w:lvl>
    <w:lvl w:ilvl="6" w:tplc="5C8CF136">
      <w:start w:val="1"/>
      <w:numFmt w:val="bullet"/>
      <w:lvlText w:val="●"/>
      <w:lvlJc w:val="left"/>
      <w:pPr>
        <w:ind w:left="5040" w:hanging="360"/>
      </w:pPr>
    </w:lvl>
    <w:lvl w:ilvl="7" w:tplc="50C297CA">
      <w:start w:val="1"/>
      <w:numFmt w:val="bullet"/>
      <w:lvlText w:val="●"/>
      <w:lvlJc w:val="left"/>
      <w:pPr>
        <w:ind w:left="5760" w:hanging="360"/>
      </w:pPr>
    </w:lvl>
    <w:lvl w:ilvl="8" w:tplc="9044F302">
      <w:start w:val="1"/>
      <w:numFmt w:val="bullet"/>
      <w:lvlText w:val="●"/>
      <w:lvlJc w:val="left"/>
      <w:pPr>
        <w:ind w:left="6480" w:hanging="360"/>
      </w:pPr>
    </w:lvl>
  </w:abstractNum>
  <w:num w:numId="1" w16cid:durableId="11079711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038"/>
    <w:rsid w:val="00062368"/>
    <w:rsid w:val="00090E3F"/>
    <w:rsid w:val="000940FD"/>
    <w:rsid w:val="000C6CB6"/>
    <w:rsid w:val="000D5A06"/>
    <w:rsid w:val="00104592"/>
    <w:rsid w:val="00105A44"/>
    <w:rsid w:val="00114A80"/>
    <w:rsid w:val="00163202"/>
    <w:rsid w:val="0016434C"/>
    <w:rsid w:val="00184775"/>
    <w:rsid w:val="001917A7"/>
    <w:rsid w:val="001A4F45"/>
    <w:rsid w:val="00224B8B"/>
    <w:rsid w:val="0023682C"/>
    <w:rsid w:val="00240C24"/>
    <w:rsid w:val="002B582B"/>
    <w:rsid w:val="002B7B02"/>
    <w:rsid w:val="002C0729"/>
    <w:rsid w:val="002C1407"/>
    <w:rsid w:val="002D2797"/>
    <w:rsid w:val="00313D57"/>
    <w:rsid w:val="00354970"/>
    <w:rsid w:val="003B6942"/>
    <w:rsid w:val="003E2775"/>
    <w:rsid w:val="00451727"/>
    <w:rsid w:val="00456108"/>
    <w:rsid w:val="00471C33"/>
    <w:rsid w:val="00473874"/>
    <w:rsid w:val="004C0F39"/>
    <w:rsid w:val="004D4A94"/>
    <w:rsid w:val="004F0C9A"/>
    <w:rsid w:val="004F3BA1"/>
    <w:rsid w:val="004F5E95"/>
    <w:rsid w:val="004F6B28"/>
    <w:rsid w:val="005453BD"/>
    <w:rsid w:val="005B1E65"/>
    <w:rsid w:val="00677EE2"/>
    <w:rsid w:val="006B1BC8"/>
    <w:rsid w:val="006D386A"/>
    <w:rsid w:val="00726A7A"/>
    <w:rsid w:val="007758BB"/>
    <w:rsid w:val="007D116E"/>
    <w:rsid w:val="007D2F1C"/>
    <w:rsid w:val="0086374F"/>
    <w:rsid w:val="00896E90"/>
    <w:rsid w:val="008A0038"/>
    <w:rsid w:val="008A15BA"/>
    <w:rsid w:val="008B1FE1"/>
    <w:rsid w:val="008D0001"/>
    <w:rsid w:val="00921A16"/>
    <w:rsid w:val="00957BB6"/>
    <w:rsid w:val="0096323D"/>
    <w:rsid w:val="00966606"/>
    <w:rsid w:val="009744B3"/>
    <w:rsid w:val="00A00CA8"/>
    <w:rsid w:val="00A16412"/>
    <w:rsid w:val="00A32B73"/>
    <w:rsid w:val="00A571A0"/>
    <w:rsid w:val="00A773D7"/>
    <w:rsid w:val="00A86516"/>
    <w:rsid w:val="00AE0B75"/>
    <w:rsid w:val="00B1090D"/>
    <w:rsid w:val="00B60A9C"/>
    <w:rsid w:val="00B92443"/>
    <w:rsid w:val="00C01CBD"/>
    <w:rsid w:val="00C63337"/>
    <w:rsid w:val="00C83C64"/>
    <w:rsid w:val="00CD19B2"/>
    <w:rsid w:val="00D11318"/>
    <w:rsid w:val="00D24A53"/>
    <w:rsid w:val="00D24FEC"/>
    <w:rsid w:val="00D81DBE"/>
    <w:rsid w:val="00DC3567"/>
    <w:rsid w:val="00DD438C"/>
    <w:rsid w:val="00E914B3"/>
    <w:rsid w:val="00E973A0"/>
    <w:rsid w:val="00F35D01"/>
    <w:rsid w:val="00F50320"/>
    <w:rsid w:val="00F6113A"/>
    <w:rsid w:val="00FA0582"/>
    <w:rsid w:val="00FB4308"/>
    <w:rsid w:val="00FB467B"/>
    <w:rsid w:val="00FC57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F9211"/>
  <w15:docId w15:val="{22FB1463-A4D9-4A18-A8ED-FED8F1B39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unhideWhenUsed/>
    <w:rPr>
      <w:sz w:val="20"/>
      <w:szCs w:val="20"/>
    </w:rPr>
  </w:style>
  <w:style w:type="character" w:customStyle="1" w:styleId="DipnotMetniChar">
    <w:name w:val="Dipnot Metni Char"/>
    <w:link w:val="DipnotMetni"/>
    <w:uiPriority w:val="99"/>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 w:type="character" w:styleId="zmlenmeyenBahsetme">
    <w:name w:val="Unresolved Mention"/>
    <w:basedOn w:val="VarsaylanParagrafYazTipi"/>
    <w:uiPriority w:val="99"/>
    <w:semiHidden/>
    <w:unhideWhenUsed/>
    <w:rsid w:val="004F6B28"/>
    <w:rPr>
      <w:color w:val="605E5C"/>
      <w:shd w:val="clear" w:color="auto" w:fill="E1DFDD"/>
    </w:rPr>
  </w:style>
  <w:style w:type="paragraph" w:styleId="NormalWeb">
    <w:name w:val="Normal (Web)"/>
    <w:basedOn w:val="Normal"/>
    <w:uiPriority w:val="99"/>
    <w:semiHidden/>
    <w:unhideWhenUsed/>
    <w:rsid w:val="00A773D7"/>
  </w:style>
  <w:style w:type="paragraph" w:styleId="stBilgi">
    <w:name w:val="header"/>
    <w:basedOn w:val="Normal"/>
    <w:link w:val="stBilgiChar"/>
    <w:uiPriority w:val="99"/>
    <w:unhideWhenUsed/>
    <w:rsid w:val="00FB467B"/>
    <w:pPr>
      <w:tabs>
        <w:tab w:val="center" w:pos="4536"/>
        <w:tab w:val="right" w:pos="9072"/>
      </w:tabs>
    </w:pPr>
  </w:style>
  <w:style w:type="character" w:customStyle="1" w:styleId="stBilgiChar">
    <w:name w:val="Üst Bilgi Char"/>
    <w:basedOn w:val="VarsaylanParagrafYazTipi"/>
    <w:link w:val="stBilgi"/>
    <w:uiPriority w:val="99"/>
    <w:rsid w:val="00FB467B"/>
  </w:style>
  <w:style w:type="paragraph" w:styleId="AltBilgi">
    <w:name w:val="footer"/>
    <w:basedOn w:val="Normal"/>
    <w:link w:val="AltBilgiChar"/>
    <w:uiPriority w:val="99"/>
    <w:unhideWhenUsed/>
    <w:rsid w:val="00FB467B"/>
    <w:pPr>
      <w:tabs>
        <w:tab w:val="center" w:pos="4536"/>
        <w:tab w:val="right" w:pos="9072"/>
      </w:tabs>
    </w:pPr>
  </w:style>
  <w:style w:type="character" w:customStyle="1" w:styleId="AltBilgiChar">
    <w:name w:val="Alt Bilgi Char"/>
    <w:basedOn w:val="VarsaylanParagrafYazTipi"/>
    <w:link w:val="AltBilgi"/>
    <w:uiPriority w:val="99"/>
    <w:rsid w:val="00FB4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10530">
      <w:bodyDiv w:val="1"/>
      <w:marLeft w:val="0"/>
      <w:marRight w:val="0"/>
      <w:marTop w:val="0"/>
      <w:marBottom w:val="0"/>
      <w:divBdr>
        <w:top w:val="none" w:sz="0" w:space="0" w:color="auto"/>
        <w:left w:val="none" w:sz="0" w:space="0" w:color="auto"/>
        <w:bottom w:val="none" w:sz="0" w:space="0" w:color="auto"/>
        <w:right w:val="none" w:sz="0" w:space="0" w:color="auto"/>
      </w:divBdr>
    </w:div>
    <w:div w:id="153565947">
      <w:bodyDiv w:val="1"/>
      <w:marLeft w:val="0"/>
      <w:marRight w:val="0"/>
      <w:marTop w:val="0"/>
      <w:marBottom w:val="0"/>
      <w:divBdr>
        <w:top w:val="none" w:sz="0" w:space="0" w:color="auto"/>
        <w:left w:val="none" w:sz="0" w:space="0" w:color="auto"/>
        <w:bottom w:val="none" w:sz="0" w:space="0" w:color="auto"/>
        <w:right w:val="none" w:sz="0" w:space="0" w:color="auto"/>
      </w:divBdr>
    </w:div>
    <w:div w:id="245847382">
      <w:bodyDiv w:val="1"/>
      <w:marLeft w:val="0"/>
      <w:marRight w:val="0"/>
      <w:marTop w:val="0"/>
      <w:marBottom w:val="0"/>
      <w:divBdr>
        <w:top w:val="none" w:sz="0" w:space="0" w:color="auto"/>
        <w:left w:val="none" w:sz="0" w:space="0" w:color="auto"/>
        <w:bottom w:val="none" w:sz="0" w:space="0" w:color="auto"/>
        <w:right w:val="none" w:sz="0" w:space="0" w:color="auto"/>
      </w:divBdr>
    </w:div>
    <w:div w:id="295918603">
      <w:bodyDiv w:val="1"/>
      <w:marLeft w:val="0"/>
      <w:marRight w:val="0"/>
      <w:marTop w:val="0"/>
      <w:marBottom w:val="0"/>
      <w:divBdr>
        <w:top w:val="none" w:sz="0" w:space="0" w:color="auto"/>
        <w:left w:val="none" w:sz="0" w:space="0" w:color="auto"/>
        <w:bottom w:val="none" w:sz="0" w:space="0" w:color="auto"/>
        <w:right w:val="none" w:sz="0" w:space="0" w:color="auto"/>
      </w:divBdr>
    </w:div>
    <w:div w:id="298651665">
      <w:bodyDiv w:val="1"/>
      <w:marLeft w:val="0"/>
      <w:marRight w:val="0"/>
      <w:marTop w:val="0"/>
      <w:marBottom w:val="0"/>
      <w:divBdr>
        <w:top w:val="none" w:sz="0" w:space="0" w:color="auto"/>
        <w:left w:val="none" w:sz="0" w:space="0" w:color="auto"/>
        <w:bottom w:val="none" w:sz="0" w:space="0" w:color="auto"/>
        <w:right w:val="none" w:sz="0" w:space="0" w:color="auto"/>
      </w:divBdr>
    </w:div>
    <w:div w:id="327906841">
      <w:bodyDiv w:val="1"/>
      <w:marLeft w:val="0"/>
      <w:marRight w:val="0"/>
      <w:marTop w:val="0"/>
      <w:marBottom w:val="0"/>
      <w:divBdr>
        <w:top w:val="none" w:sz="0" w:space="0" w:color="auto"/>
        <w:left w:val="none" w:sz="0" w:space="0" w:color="auto"/>
        <w:bottom w:val="none" w:sz="0" w:space="0" w:color="auto"/>
        <w:right w:val="none" w:sz="0" w:space="0" w:color="auto"/>
      </w:divBdr>
    </w:div>
    <w:div w:id="399986146">
      <w:bodyDiv w:val="1"/>
      <w:marLeft w:val="0"/>
      <w:marRight w:val="0"/>
      <w:marTop w:val="0"/>
      <w:marBottom w:val="0"/>
      <w:divBdr>
        <w:top w:val="none" w:sz="0" w:space="0" w:color="auto"/>
        <w:left w:val="none" w:sz="0" w:space="0" w:color="auto"/>
        <w:bottom w:val="none" w:sz="0" w:space="0" w:color="auto"/>
        <w:right w:val="none" w:sz="0" w:space="0" w:color="auto"/>
      </w:divBdr>
    </w:div>
    <w:div w:id="468281986">
      <w:bodyDiv w:val="1"/>
      <w:marLeft w:val="0"/>
      <w:marRight w:val="0"/>
      <w:marTop w:val="0"/>
      <w:marBottom w:val="0"/>
      <w:divBdr>
        <w:top w:val="none" w:sz="0" w:space="0" w:color="auto"/>
        <w:left w:val="none" w:sz="0" w:space="0" w:color="auto"/>
        <w:bottom w:val="none" w:sz="0" w:space="0" w:color="auto"/>
        <w:right w:val="none" w:sz="0" w:space="0" w:color="auto"/>
      </w:divBdr>
    </w:div>
    <w:div w:id="489254018">
      <w:bodyDiv w:val="1"/>
      <w:marLeft w:val="0"/>
      <w:marRight w:val="0"/>
      <w:marTop w:val="0"/>
      <w:marBottom w:val="0"/>
      <w:divBdr>
        <w:top w:val="none" w:sz="0" w:space="0" w:color="auto"/>
        <w:left w:val="none" w:sz="0" w:space="0" w:color="auto"/>
        <w:bottom w:val="none" w:sz="0" w:space="0" w:color="auto"/>
        <w:right w:val="none" w:sz="0" w:space="0" w:color="auto"/>
      </w:divBdr>
    </w:div>
    <w:div w:id="681660557">
      <w:bodyDiv w:val="1"/>
      <w:marLeft w:val="0"/>
      <w:marRight w:val="0"/>
      <w:marTop w:val="0"/>
      <w:marBottom w:val="0"/>
      <w:divBdr>
        <w:top w:val="none" w:sz="0" w:space="0" w:color="auto"/>
        <w:left w:val="none" w:sz="0" w:space="0" w:color="auto"/>
        <w:bottom w:val="none" w:sz="0" w:space="0" w:color="auto"/>
        <w:right w:val="none" w:sz="0" w:space="0" w:color="auto"/>
      </w:divBdr>
    </w:div>
    <w:div w:id="721902718">
      <w:bodyDiv w:val="1"/>
      <w:marLeft w:val="0"/>
      <w:marRight w:val="0"/>
      <w:marTop w:val="0"/>
      <w:marBottom w:val="0"/>
      <w:divBdr>
        <w:top w:val="none" w:sz="0" w:space="0" w:color="auto"/>
        <w:left w:val="none" w:sz="0" w:space="0" w:color="auto"/>
        <w:bottom w:val="none" w:sz="0" w:space="0" w:color="auto"/>
        <w:right w:val="none" w:sz="0" w:space="0" w:color="auto"/>
      </w:divBdr>
    </w:div>
    <w:div w:id="752513736">
      <w:bodyDiv w:val="1"/>
      <w:marLeft w:val="0"/>
      <w:marRight w:val="0"/>
      <w:marTop w:val="0"/>
      <w:marBottom w:val="0"/>
      <w:divBdr>
        <w:top w:val="none" w:sz="0" w:space="0" w:color="auto"/>
        <w:left w:val="none" w:sz="0" w:space="0" w:color="auto"/>
        <w:bottom w:val="none" w:sz="0" w:space="0" w:color="auto"/>
        <w:right w:val="none" w:sz="0" w:space="0" w:color="auto"/>
      </w:divBdr>
    </w:div>
    <w:div w:id="836966276">
      <w:bodyDiv w:val="1"/>
      <w:marLeft w:val="0"/>
      <w:marRight w:val="0"/>
      <w:marTop w:val="0"/>
      <w:marBottom w:val="0"/>
      <w:divBdr>
        <w:top w:val="none" w:sz="0" w:space="0" w:color="auto"/>
        <w:left w:val="none" w:sz="0" w:space="0" w:color="auto"/>
        <w:bottom w:val="none" w:sz="0" w:space="0" w:color="auto"/>
        <w:right w:val="none" w:sz="0" w:space="0" w:color="auto"/>
      </w:divBdr>
    </w:div>
    <w:div w:id="862672417">
      <w:bodyDiv w:val="1"/>
      <w:marLeft w:val="0"/>
      <w:marRight w:val="0"/>
      <w:marTop w:val="0"/>
      <w:marBottom w:val="0"/>
      <w:divBdr>
        <w:top w:val="none" w:sz="0" w:space="0" w:color="auto"/>
        <w:left w:val="none" w:sz="0" w:space="0" w:color="auto"/>
        <w:bottom w:val="none" w:sz="0" w:space="0" w:color="auto"/>
        <w:right w:val="none" w:sz="0" w:space="0" w:color="auto"/>
      </w:divBdr>
    </w:div>
    <w:div w:id="963996228">
      <w:bodyDiv w:val="1"/>
      <w:marLeft w:val="0"/>
      <w:marRight w:val="0"/>
      <w:marTop w:val="0"/>
      <w:marBottom w:val="0"/>
      <w:divBdr>
        <w:top w:val="none" w:sz="0" w:space="0" w:color="auto"/>
        <w:left w:val="none" w:sz="0" w:space="0" w:color="auto"/>
        <w:bottom w:val="none" w:sz="0" w:space="0" w:color="auto"/>
        <w:right w:val="none" w:sz="0" w:space="0" w:color="auto"/>
      </w:divBdr>
      <w:divsChild>
        <w:div w:id="20936534">
          <w:marLeft w:val="0"/>
          <w:marRight w:val="0"/>
          <w:marTop w:val="0"/>
          <w:marBottom w:val="0"/>
          <w:divBdr>
            <w:top w:val="none" w:sz="0" w:space="0" w:color="auto"/>
            <w:left w:val="none" w:sz="0" w:space="0" w:color="auto"/>
            <w:bottom w:val="none" w:sz="0" w:space="0" w:color="auto"/>
            <w:right w:val="none" w:sz="0" w:space="0" w:color="auto"/>
          </w:divBdr>
        </w:div>
      </w:divsChild>
    </w:div>
    <w:div w:id="1064184495">
      <w:bodyDiv w:val="1"/>
      <w:marLeft w:val="0"/>
      <w:marRight w:val="0"/>
      <w:marTop w:val="0"/>
      <w:marBottom w:val="0"/>
      <w:divBdr>
        <w:top w:val="none" w:sz="0" w:space="0" w:color="auto"/>
        <w:left w:val="none" w:sz="0" w:space="0" w:color="auto"/>
        <w:bottom w:val="none" w:sz="0" w:space="0" w:color="auto"/>
        <w:right w:val="none" w:sz="0" w:space="0" w:color="auto"/>
      </w:divBdr>
    </w:div>
    <w:div w:id="1074399362">
      <w:bodyDiv w:val="1"/>
      <w:marLeft w:val="0"/>
      <w:marRight w:val="0"/>
      <w:marTop w:val="0"/>
      <w:marBottom w:val="0"/>
      <w:divBdr>
        <w:top w:val="none" w:sz="0" w:space="0" w:color="auto"/>
        <w:left w:val="none" w:sz="0" w:space="0" w:color="auto"/>
        <w:bottom w:val="none" w:sz="0" w:space="0" w:color="auto"/>
        <w:right w:val="none" w:sz="0" w:space="0" w:color="auto"/>
      </w:divBdr>
    </w:div>
    <w:div w:id="1137836382">
      <w:bodyDiv w:val="1"/>
      <w:marLeft w:val="0"/>
      <w:marRight w:val="0"/>
      <w:marTop w:val="0"/>
      <w:marBottom w:val="0"/>
      <w:divBdr>
        <w:top w:val="none" w:sz="0" w:space="0" w:color="auto"/>
        <w:left w:val="none" w:sz="0" w:space="0" w:color="auto"/>
        <w:bottom w:val="none" w:sz="0" w:space="0" w:color="auto"/>
        <w:right w:val="none" w:sz="0" w:space="0" w:color="auto"/>
      </w:divBdr>
    </w:div>
    <w:div w:id="1161776583">
      <w:bodyDiv w:val="1"/>
      <w:marLeft w:val="0"/>
      <w:marRight w:val="0"/>
      <w:marTop w:val="0"/>
      <w:marBottom w:val="0"/>
      <w:divBdr>
        <w:top w:val="none" w:sz="0" w:space="0" w:color="auto"/>
        <w:left w:val="none" w:sz="0" w:space="0" w:color="auto"/>
        <w:bottom w:val="none" w:sz="0" w:space="0" w:color="auto"/>
        <w:right w:val="none" w:sz="0" w:space="0" w:color="auto"/>
      </w:divBdr>
    </w:div>
    <w:div w:id="1166558653">
      <w:bodyDiv w:val="1"/>
      <w:marLeft w:val="0"/>
      <w:marRight w:val="0"/>
      <w:marTop w:val="0"/>
      <w:marBottom w:val="0"/>
      <w:divBdr>
        <w:top w:val="none" w:sz="0" w:space="0" w:color="auto"/>
        <w:left w:val="none" w:sz="0" w:space="0" w:color="auto"/>
        <w:bottom w:val="none" w:sz="0" w:space="0" w:color="auto"/>
        <w:right w:val="none" w:sz="0" w:space="0" w:color="auto"/>
      </w:divBdr>
    </w:div>
    <w:div w:id="1211727119">
      <w:bodyDiv w:val="1"/>
      <w:marLeft w:val="0"/>
      <w:marRight w:val="0"/>
      <w:marTop w:val="0"/>
      <w:marBottom w:val="0"/>
      <w:divBdr>
        <w:top w:val="none" w:sz="0" w:space="0" w:color="auto"/>
        <w:left w:val="none" w:sz="0" w:space="0" w:color="auto"/>
        <w:bottom w:val="none" w:sz="0" w:space="0" w:color="auto"/>
        <w:right w:val="none" w:sz="0" w:space="0" w:color="auto"/>
      </w:divBdr>
      <w:divsChild>
        <w:div w:id="1120492195">
          <w:marLeft w:val="0"/>
          <w:marRight w:val="0"/>
          <w:marTop w:val="0"/>
          <w:marBottom w:val="0"/>
          <w:divBdr>
            <w:top w:val="none" w:sz="0" w:space="0" w:color="auto"/>
            <w:left w:val="none" w:sz="0" w:space="0" w:color="auto"/>
            <w:bottom w:val="none" w:sz="0" w:space="0" w:color="auto"/>
            <w:right w:val="none" w:sz="0" w:space="0" w:color="auto"/>
          </w:divBdr>
        </w:div>
      </w:divsChild>
    </w:div>
    <w:div w:id="1215967412">
      <w:bodyDiv w:val="1"/>
      <w:marLeft w:val="0"/>
      <w:marRight w:val="0"/>
      <w:marTop w:val="0"/>
      <w:marBottom w:val="0"/>
      <w:divBdr>
        <w:top w:val="none" w:sz="0" w:space="0" w:color="auto"/>
        <w:left w:val="none" w:sz="0" w:space="0" w:color="auto"/>
        <w:bottom w:val="none" w:sz="0" w:space="0" w:color="auto"/>
        <w:right w:val="none" w:sz="0" w:space="0" w:color="auto"/>
      </w:divBdr>
    </w:div>
    <w:div w:id="1235628842">
      <w:bodyDiv w:val="1"/>
      <w:marLeft w:val="0"/>
      <w:marRight w:val="0"/>
      <w:marTop w:val="0"/>
      <w:marBottom w:val="0"/>
      <w:divBdr>
        <w:top w:val="none" w:sz="0" w:space="0" w:color="auto"/>
        <w:left w:val="none" w:sz="0" w:space="0" w:color="auto"/>
        <w:bottom w:val="none" w:sz="0" w:space="0" w:color="auto"/>
        <w:right w:val="none" w:sz="0" w:space="0" w:color="auto"/>
      </w:divBdr>
    </w:div>
    <w:div w:id="1335183458">
      <w:bodyDiv w:val="1"/>
      <w:marLeft w:val="0"/>
      <w:marRight w:val="0"/>
      <w:marTop w:val="0"/>
      <w:marBottom w:val="0"/>
      <w:divBdr>
        <w:top w:val="none" w:sz="0" w:space="0" w:color="auto"/>
        <w:left w:val="none" w:sz="0" w:space="0" w:color="auto"/>
        <w:bottom w:val="none" w:sz="0" w:space="0" w:color="auto"/>
        <w:right w:val="none" w:sz="0" w:space="0" w:color="auto"/>
      </w:divBdr>
    </w:div>
    <w:div w:id="1346130090">
      <w:bodyDiv w:val="1"/>
      <w:marLeft w:val="0"/>
      <w:marRight w:val="0"/>
      <w:marTop w:val="0"/>
      <w:marBottom w:val="0"/>
      <w:divBdr>
        <w:top w:val="none" w:sz="0" w:space="0" w:color="auto"/>
        <w:left w:val="none" w:sz="0" w:space="0" w:color="auto"/>
        <w:bottom w:val="none" w:sz="0" w:space="0" w:color="auto"/>
        <w:right w:val="none" w:sz="0" w:space="0" w:color="auto"/>
      </w:divBdr>
    </w:div>
    <w:div w:id="1433012604">
      <w:bodyDiv w:val="1"/>
      <w:marLeft w:val="0"/>
      <w:marRight w:val="0"/>
      <w:marTop w:val="0"/>
      <w:marBottom w:val="0"/>
      <w:divBdr>
        <w:top w:val="none" w:sz="0" w:space="0" w:color="auto"/>
        <w:left w:val="none" w:sz="0" w:space="0" w:color="auto"/>
        <w:bottom w:val="none" w:sz="0" w:space="0" w:color="auto"/>
        <w:right w:val="none" w:sz="0" w:space="0" w:color="auto"/>
      </w:divBdr>
    </w:div>
    <w:div w:id="1434129051">
      <w:bodyDiv w:val="1"/>
      <w:marLeft w:val="0"/>
      <w:marRight w:val="0"/>
      <w:marTop w:val="0"/>
      <w:marBottom w:val="0"/>
      <w:divBdr>
        <w:top w:val="none" w:sz="0" w:space="0" w:color="auto"/>
        <w:left w:val="none" w:sz="0" w:space="0" w:color="auto"/>
        <w:bottom w:val="none" w:sz="0" w:space="0" w:color="auto"/>
        <w:right w:val="none" w:sz="0" w:space="0" w:color="auto"/>
      </w:divBdr>
    </w:div>
    <w:div w:id="1442915347">
      <w:bodyDiv w:val="1"/>
      <w:marLeft w:val="0"/>
      <w:marRight w:val="0"/>
      <w:marTop w:val="0"/>
      <w:marBottom w:val="0"/>
      <w:divBdr>
        <w:top w:val="none" w:sz="0" w:space="0" w:color="auto"/>
        <w:left w:val="none" w:sz="0" w:space="0" w:color="auto"/>
        <w:bottom w:val="none" w:sz="0" w:space="0" w:color="auto"/>
        <w:right w:val="none" w:sz="0" w:space="0" w:color="auto"/>
      </w:divBdr>
    </w:div>
    <w:div w:id="1454977470">
      <w:bodyDiv w:val="1"/>
      <w:marLeft w:val="0"/>
      <w:marRight w:val="0"/>
      <w:marTop w:val="0"/>
      <w:marBottom w:val="0"/>
      <w:divBdr>
        <w:top w:val="none" w:sz="0" w:space="0" w:color="auto"/>
        <w:left w:val="none" w:sz="0" w:space="0" w:color="auto"/>
        <w:bottom w:val="none" w:sz="0" w:space="0" w:color="auto"/>
        <w:right w:val="none" w:sz="0" w:space="0" w:color="auto"/>
      </w:divBdr>
    </w:div>
    <w:div w:id="1492939877">
      <w:bodyDiv w:val="1"/>
      <w:marLeft w:val="0"/>
      <w:marRight w:val="0"/>
      <w:marTop w:val="0"/>
      <w:marBottom w:val="0"/>
      <w:divBdr>
        <w:top w:val="none" w:sz="0" w:space="0" w:color="auto"/>
        <w:left w:val="none" w:sz="0" w:space="0" w:color="auto"/>
        <w:bottom w:val="none" w:sz="0" w:space="0" w:color="auto"/>
        <w:right w:val="none" w:sz="0" w:space="0" w:color="auto"/>
      </w:divBdr>
    </w:div>
    <w:div w:id="1526596791">
      <w:bodyDiv w:val="1"/>
      <w:marLeft w:val="0"/>
      <w:marRight w:val="0"/>
      <w:marTop w:val="0"/>
      <w:marBottom w:val="0"/>
      <w:divBdr>
        <w:top w:val="none" w:sz="0" w:space="0" w:color="auto"/>
        <w:left w:val="none" w:sz="0" w:space="0" w:color="auto"/>
        <w:bottom w:val="none" w:sz="0" w:space="0" w:color="auto"/>
        <w:right w:val="none" w:sz="0" w:space="0" w:color="auto"/>
      </w:divBdr>
    </w:div>
    <w:div w:id="1563061519">
      <w:bodyDiv w:val="1"/>
      <w:marLeft w:val="0"/>
      <w:marRight w:val="0"/>
      <w:marTop w:val="0"/>
      <w:marBottom w:val="0"/>
      <w:divBdr>
        <w:top w:val="none" w:sz="0" w:space="0" w:color="auto"/>
        <w:left w:val="none" w:sz="0" w:space="0" w:color="auto"/>
        <w:bottom w:val="none" w:sz="0" w:space="0" w:color="auto"/>
        <w:right w:val="none" w:sz="0" w:space="0" w:color="auto"/>
      </w:divBdr>
    </w:div>
    <w:div w:id="1592934696">
      <w:bodyDiv w:val="1"/>
      <w:marLeft w:val="0"/>
      <w:marRight w:val="0"/>
      <w:marTop w:val="0"/>
      <w:marBottom w:val="0"/>
      <w:divBdr>
        <w:top w:val="none" w:sz="0" w:space="0" w:color="auto"/>
        <w:left w:val="none" w:sz="0" w:space="0" w:color="auto"/>
        <w:bottom w:val="none" w:sz="0" w:space="0" w:color="auto"/>
        <w:right w:val="none" w:sz="0" w:space="0" w:color="auto"/>
      </w:divBdr>
    </w:div>
    <w:div w:id="1601520716">
      <w:bodyDiv w:val="1"/>
      <w:marLeft w:val="0"/>
      <w:marRight w:val="0"/>
      <w:marTop w:val="0"/>
      <w:marBottom w:val="0"/>
      <w:divBdr>
        <w:top w:val="none" w:sz="0" w:space="0" w:color="auto"/>
        <w:left w:val="none" w:sz="0" w:space="0" w:color="auto"/>
        <w:bottom w:val="none" w:sz="0" w:space="0" w:color="auto"/>
        <w:right w:val="none" w:sz="0" w:space="0" w:color="auto"/>
      </w:divBdr>
    </w:div>
    <w:div w:id="1611545002">
      <w:bodyDiv w:val="1"/>
      <w:marLeft w:val="0"/>
      <w:marRight w:val="0"/>
      <w:marTop w:val="0"/>
      <w:marBottom w:val="0"/>
      <w:divBdr>
        <w:top w:val="none" w:sz="0" w:space="0" w:color="auto"/>
        <w:left w:val="none" w:sz="0" w:space="0" w:color="auto"/>
        <w:bottom w:val="none" w:sz="0" w:space="0" w:color="auto"/>
        <w:right w:val="none" w:sz="0" w:space="0" w:color="auto"/>
      </w:divBdr>
    </w:div>
    <w:div w:id="1682538334">
      <w:bodyDiv w:val="1"/>
      <w:marLeft w:val="0"/>
      <w:marRight w:val="0"/>
      <w:marTop w:val="0"/>
      <w:marBottom w:val="0"/>
      <w:divBdr>
        <w:top w:val="none" w:sz="0" w:space="0" w:color="auto"/>
        <w:left w:val="none" w:sz="0" w:space="0" w:color="auto"/>
        <w:bottom w:val="none" w:sz="0" w:space="0" w:color="auto"/>
        <w:right w:val="none" w:sz="0" w:space="0" w:color="auto"/>
      </w:divBdr>
    </w:div>
    <w:div w:id="1907951756">
      <w:bodyDiv w:val="1"/>
      <w:marLeft w:val="0"/>
      <w:marRight w:val="0"/>
      <w:marTop w:val="0"/>
      <w:marBottom w:val="0"/>
      <w:divBdr>
        <w:top w:val="none" w:sz="0" w:space="0" w:color="auto"/>
        <w:left w:val="none" w:sz="0" w:space="0" w:color="auto"/>
        <w:bottom w:val="none" w:sz="0" w:space="0" w:color="auto"/>
        <w:right w:val="none" w:sz="0" w:space="0" w:color="auto"/>
      </w:divBdr>
    </w:div>
    <w:div w:id="1929078211">
      <w:bodyDiv w:val="1"/>
      <w:marLeft w:val="0"/>
      <w:marRight w:val="0"/>
      <w:marTop w:val="0"/>
      <w:marBottom w:val="0"/>
      <w:divBdr>
        <w:top w:val="none" w:sz="0" w:space="0" w:color="auto"/>
        <w:left w:val="none" w:sz="0" w:space="0" w:color="auto"/>
        <w:bottom w:val="none" w:sz="0" w:space="0" w:color="auto"/>
        <w:right w:val="none" w:sz="0" w:space="0" w:color="auto"/>
      </w:divBdr>
    </w:div>
    <w:div w:id="1969165653">
      <w:bodyDiv w:val="1"/>
      <w:marLeft w:val="0"/>
      <w:marRight w:val="0"/>
      <w:marTop w:val="0"/>
      <w:marBottom w:val="0"/>
      <w:divBdr>
        <w:top w:val="none" w:sz="0" w:space="0" w:color="auto"/>
        <w:left w:val="none" w:sz="0" w:space="0" w:color="auto"/>
        <w:bottom w:val="none" w:sz="0" w:space="0" w:color="auto"/>
        <w:right w:val="none" w:sz="0" w:space="0" w:color="auto"/>
      </w:divBdr>
    </w:div>
    <w:div w:id="1988167470">
      <w:bodyDiv w:val="1"/>
      <w:marLeft w:val="0"/>
      <w:marRight w:val="0"/>
      <w:marTop w:val="0"/>
      <w:marBottom w:val="0"/>
      <w:divBdr>
        <w:top w:val="none" w:sz="0" w:space="0" w:color="auto"/>
        <w:left w:val="none" w:sz="0" w:space="0" w:color="auto"/>
        <w:bottom w:val="none" w:sz="0" w:space="0" w:color="auto"/>
        <w:right w:val="none" w:sz="0" w:space="0" w:color="auto"/>
      </w:divBdr>
    </w:div>
    <w:div w:id="2011830226">
      <w:bodyDiv w:val="1"/>
      <w:marLeft w:val="0"/>
      <w:marRight w:val="0"/>
      <w:marTop w:val="0"/>
      <w:marBottom w:val="0"/>
      <w:divBdr>
        <w:top w:val="none" w:sz="0" w:space="0" w:color="auto"/>
        <w:left w:val="none" w:sz="0" w:space="0" w:color="auto"/>
        <w:bottom w:val="none" w:sz="0" w:space="0" w:color="auto"/>
        <w:right w:val="none" w:sz="0" w:space="0" w:color="auto"/>
      </w:divBdr>
    </w:div>
    <w:div w:id="2144614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polat@law.ankara.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987D7-0007-4F5A-BA6A-BB658FEF2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TotalTime>
  <Pages>20</Pages>
  <Words>8181</Words>
  <Characters>46634</Characters>
  <Application>Microsoft Office Word</Application>
  <DocSecurity>0</DocSecurity>
  <Lines>388</Lines>
  <Paragraphs>109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Yazar</cp:lastModifiedBy>
  <cp:revision>32</cp:revision>
  <dcterms:created xsi:type="dcterms:W3CDTF">2026-07-16T15:42:00Z</dcterms:created>
  <dcterms:modified xsi:type="dcterms:W3CDTF">2026-07-27T16:19:00Z</dcterms:modified>
</cp:coreProperties>
</file>